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723" w:firstLineChars="200"/>
        <w:jc w:val="center"/>
        <w:rPr>
          <w:rFonts w:hint="eastAsia" w:ascii="黑体" w:hAnsi="黑体" w:eastAsia="黑体" w:cs="黑体"/>
          <w:b/>
          <w:bCs/>
          <w:sz w:val="36"/>
          <w:szCs w:val="44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6"/>
          <w:szCs w:val="44"/>
          <w:lang w:val="en-US" w:eastAsia="zh-CN"/>
        </w:rPr>
        <w:t>2022-2023学年第一学期思政教育工作部</w:t>
      </w:r>
    </w:p>
    <w:p>
      <w:pPr>
        <w:ind w:firstLine="723" w:firstLineChars="200"/>
        <w:jc w:val="center"/>
        <w:rPr>
          <w:rFonts w:hint="eastAsia" w:ascii="黑体" w:hAnsi="黑体" w:eastAsia="黑体" w:cs="黑体"/>
          <w:b/>
          <w:bCs/>
          <w:sz w:val="36"/>
          <w:szCs w:val="44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6"/>
          <w:szCs w:val="44"/>
          <w:lang w:val="en-US" w:eastAsia="zh-CN"/>
        </w:rPr>
        <w:t>人文素质线上课程</w:t>
      </w:r>
      <w:r>
        <w:rPr>
          <w:rFonts w:hint="eastAsia" w:ascii="黑体" w:hAnsi="黑体" w:eastAsia="黑体" w:cs="黑体"/>
          <w:b/>
          <w:bCs/>
          <w:sz w:val="36"/>
          <w:szCs w:val="44"/>
        </w:rPr>
        <w:t>选</w:t>
      </w:r>
      <w:r>
        <w:rPr>
          <w:rFonts w:hint="eastAsia" w:ascii="黑体" w:hAnsi="黑体" w:eastAsia="黑体" w:cs="黑体"/>
          <w:b/>
          <w:bCs/>
          <w:sz w:val="36"/>
          <w:szCs w:val="44"/>
          <w:lang w:val="en-US" w:eastAsia="zh-CN"/>
        </w:rPr>
        <w:t>修方案</w:t>
      </w:r>
    </w:p>
    <w:p>
      <w:pPr>
        <w:ind w:firstLine="640" w:firstLineChars="200"/>
        <w:jc w:val="left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ind w:firstLine="640" w:firstLineChars="200"/>
        <w:jc w:val="left"/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为拓宽学生视野，满足学生学习需求，我校2022-2023学年第一学期人文素质线上选修课定第6周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开始，选课采用“超星教务管理</w:t>
      </w:r>
      <w:r>
        <w:rPr>
          <w:rFonts w:hint="eastAsia" w:ascii="仿宋" w:hAnsi="仿宋" w:eastAsia="仿宋" w:cs="仿宋"/>
          <w:color w:val="000000" w:themeColor="text1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系统进行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具体内容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如下：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一、选课对象：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级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及已经毕业人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文素质选修课程学分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未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满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学生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。（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2021级学生在第四学期开通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人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文素质线上选修课程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二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、选课时间：202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26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9:00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—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28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23:59:00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；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三、选课方式：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“超星教务管理”系统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选课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四、学习方式：线上学习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五、学习时间：第6周-第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14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周（9月29日—11月27日）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六、考试时间：第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15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周（11月28日—12月4日）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七</w:t>
      </w:r>
      <w:r>
        <w:rPr>
          <w:rFonts w:hint="eastAsia" w:ascii="仿宋" w:hAnsi="仿宋" w:eastAsia="仿宋" w:cs="仿宋"/>
          <w:sz w:val="32"/>
          <w:szCs w:val="32"/>
        </w:rPr>
        <w:t>、注意事项：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1.人文素质线上选修课每学期开课一次，并集中时间考试。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2.同一门课程，线下</w:t>
      </w:r>
      <w:r>
        <w:rPr>
          <w:rFonts w:hint="eastAsia" w:ascii="仿宋" w:hAnsi="仿宋" w:eastAsia="仿宋" w:cs="仿宋"/>
          <w:sz w:val="32"/>
          <w:szCs w:val="32"/>
        </w:rPr>
        <w:t>已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修</w:t>
      </w:r>
      <w:r>
        <w:rPr>
          <w:rFonts w:hint="eastAsia" w:ascii="仿宋" w:hAnsi="仿宋" w:eastAsia="仿宋" w:cs="仿宋"/>
          <w:sz w:val="32"/>
          <w:szCs w:val="32"/>
        </w:rPr>
        <w:t>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线上</w:t>
      </w:r>
      <w:r>
        <w:rPr>
          <w:rFonts w:hint="eastAsia" w:ascii="仿宋" w:hAnsi="仿宋" w:eastAsia="仿宋" w:cs="仿宋"/>
          <w:sz w:val="32"/>
          <w:szCs w:val="32"/>
        </w:rPr>
        <w:t>不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得</w:t>
      </w:r>
      <w:r>
        <w:rPr>
          <w:rFonts w:hint="eastAsia" w:ascii="仿宋" w:hAnsi="仿宋" w:eastAsia="仿宋" w:cs="仿宋"/>
          <w:sz w:val="32"/>
          <w:szCs w:val="32"/>
        </w:rPr>
        <w:t>重选，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否则不计算学分；本次</w:t>
      </w:r>
      <w:r>
        <w:rPr>
          <w:rFonts w:hint="eastAsia" w:ascii="仿宋" w:hAnsi="仿宋" w:eastAsia="仿宋" w:cs="仿宋"/>
          <w:sz w:val="32"/>
          <w:szCs w:val="32"/>
        </w:rPr>
        <w:t>选课没有选到的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学生可在</w:t>
      </w:r>
      <w:r>
        <w:rPr>
          <w:rFonts w:hint="eastAsia" w:ascii="仿宋" w:hAnsi="仿宋" w:eastAsia="仿宋" w:cs="仿宋"/>
          <w:sz w:val="32"/>
          <w:szCs w:val="32"/>
        </w:rPr>
        <w:t>下个学期再选修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选课时间内，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学生不</w:t>
      </w:r>
      <w:r>
        <w:rPr>
          <w:rFonts w:hint="eastAsia" w:ascii="仿宋" w:hAnsi="仿宋" w:eastAsia="仿宋" w:cs="仿宋"/>
          <w:sz w:val="32"/>
          <w:szCs w:val="32"/>
        </w:rPr>
        <w:t>允许退选和换选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课程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4.本学期开设的线上课程为3门：普通话、国乐之声、商务沟通与礼仪；授课教师需在开课之初发布课程学习及结业指南，并全程指导、监管学生线上学习。</w:t>
      </w:r>
    </w:p>
    <w:p>
      <w:pPr>
        <w:spacing w:line="560" w:lineRule="exac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5.授课教师及授课时间安排：</w:t>
      </w:r>
    </w:p>
    <w:tbl>
      <w:tblPr>
        <w:tblStyle w:val="5"/>
        <w:tblpPr w:leftFromText="180" w:rightFromText="180" w:vertAnchor="text" w:tblpX="421" w:tblpY="543"/>
        <w:tblOverlap w:val="never"/>
        <w:tblW w:w="80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44"/>
        <w:gridCol w:w="2037"/>
        <w:gridCol w:w="2642"/>
        <w:gridCol w:w="11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22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课程名称</w:t>
            </w:r>
          </w:p>
        </w:tc>
        <w:tc>
          <w:tcPr>
            <w:tcW w:w="20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任课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教师</w:t>
            </w:r>
          </w:p>
        </w:tc>
        <w:tc>
          <w:tcPr>
            <w:tcW w:w="26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授课时间</w:t>
            </w:r>
          </w:p>
        </w:tc>
        <w:tc>
          <w:tcPr>
            <w:tcW w:w="11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2244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FF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国乐之声</w:t>
            </w:r>
          </w:p>
        </w:tc>
        <w:tc>
          <w:tcPr>
            <w:tcW w:w="2037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易铮</w:t>
            </w:r>
          </w:p>
        </w:tc>
        <w:tc>
          <w:tcPr>
            <w:tcW w:w="2642" w:type="dxa"/>
            <w:vMerge w:val="restart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9月29-11月27日</w:t>
            </w:r>
          </w:p>
        </w:tc>
        <w:tc>
          <w:tcPr>
            <w:tcW w:w="1145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2244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普通话</w:t>
            </w:r>
          </w:p>
        </w:tc>
        <w:tc>
          <w:tcPr>
            <w:tcW w:w="2037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周啸</w:t>
            </w:r>
          </w:p>
        </w:tc>
        <w:tc>
          <w:tcPr>
            <w:tcW w:w="2642" w:type="dxa"/>
            <w:vMerge w:val="continue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45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2244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商务沟通与礼仪</w:t>
            </w:r>
          </w:p>
        </w:tc>
        <w:tc>
          <w:tcPr>
            <w:tcW w:w="2037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周星岚</w:t>
            </w:r>
          </w:p>
        </w:tc>
        <w:tc>
          <w:tcPr>
            <w:tcW w:w="2642" w:type="dxa"/>
            <w:vMerge w:val="continue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45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spacing w:line="560" w:lineRule="exact"/>
        <w:ind w:firstLine="320" w:firstLineChars="100"/>
        <w:rPr>
          <w:rFonts w:hint="eastAsia" w:ascii="仿宋" w:hAnsi="仿宋" w:eastAsia="仿宋" w:cs="仿宋"/>
          <w:color w:val="FF0000"/>
          <w:sz w:val="32"/>
          <w:szCs w:val="32"/>
        </w:rPr>
      </w:pPr>
    </w:p>
    <w:p>
      <w:pPr>
        <w:spacing w:line="560" w:lineRule="exact"/>
        <w:ind w:firstLine="320" w:firstLineChars="1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附件：人文选修课选课流程</w:t>
      </w:r>
    </w:p>
    <w:p>
      <w:pPr>
        <w:spacing w:line="560" w:lineRule="exact"/>
        <w:jc w:val="right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60" w:lineRule="exact"/>
        <w:jc w:val="right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60" w:lineRule="exact"/>
        <w:jc w:val="righ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思政教育工作部</w:t>
      </w:r>
    </w:p>
    <w:p>
      <w:pPr>
        <w:spacing w:line="560" w:lineRule="exact"/>
        <w:jc w:val="righ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2022年9月25日</w:t>
      </w:r>
    </w:p>
    <w:p>
      <w:pPr>
        <w:spacing w:line="560" w:lineRule="exact"/>
        <w:jc w:val="right"/>
        <w:rPr>
          <w:rFonts w:hint="eastAsia" w:ascii="宋体" w:hAnsi="宋体" w:cs="宋体"/>
          <w:sz w:val="32"/>
          <w:szCs w:val="32"/>
        </w:rPr>
      </w:pPr>
    </w:p>
    <w:p>
      <w:pPr>
        <w:spacing w:line="560" w:lineRule="exact"/>
        <w:jc w:val="right"/>
        <w:rPr>
          <w:rFonts w:hint="eastAsia" w:ascii="宋体" w:hAnsi="宋体" w:cs="宋体"/>
          <w:sz w:val="32"/>
          <w:szCs w:val="32"/>
        </w:rPr>
      </w:pPr>
    </w:p>
    <w:p>
      <w:pPr>
        <w:spacing w:line="560" w:lineRule="exact"/>
        <w:jc w:val="right"/>
        <w:rPr>
          <w:rFonts w:hint="eastAsia" w:ascii="宋体" w:hAnsi="宋体" w:cs="宋体"/>
          <w:sz w:val="32"/>
          <w:szCs w:val="32"/>
        </w:rPr>
      </w:pPr>
    </w:p>
    <w:p>
      <w:pPr>
        <w:spacing w:line="560" w:lineRule="exact"/>
        <w:jc w:val="right"/>
        <w:rPr>
          <w:rFonts w:hint="eastAsia" w:ascii="宋体" w:hAnsi="宋体" w:cs="宋体"/>
          <w:sz w:val="32"/>
          <w:szCs w:val="32"/>
        </w:rPr>
      </w:pPr>
    </w:p>
    <w:p>
      <w:pPr>
        <w:spacing w:line="560" w:lineRule="exact"/>
        <w:jc w:val="right"/>
        <w:rPr>
          <w:rFonts w:hint="eastAsia" w:ascii="宋体" w:hAnsi="宋体" w:cs="宋体"/>
          <w:sz w:val="32"/>
          <w:szCs w:val="32"/>
        </w:rPr>
      </w:pPr>
    </w:p>
    <w:p>
      <w:pPr>
        <w:spacing w:line="560" w:lineRule="exact"/>
        <w:jc w:val="right"/>
        <w:rPr>
          <w:rFonts w:hint="eastAsia" w:ascii="宋体" w:hAnsi="宋体" w:cs="宋体"/>
          <w:sz w:val="32"/>
          <w:szCs w:val="32"/>
        </w:rPr>
      </w:pPr>
    </w:p>
    <w:p>
      <w:pPr>
        <w:spacing w:line="560" w:lineRule="exact"/>
        <w:jc w:val="right"/>
        <w:rPr>
          <w:rFonts w:hint="eastAsia" w:ascii="宋体" w:hAnsi="宋体" w:cs="宋体"/>
          <w:sz w:val="32"/>
          <w:szCs w:val="32"/>
        </w:rPr>
      </w:pPr>
    </w:p>
    <w:p>
      <w:pPr>
        <w:spacing w:line="560" w:lineRule="exact"/>
        <w:jc w:val="right"/>
        <w:rPr>
          <w:rFonts w:hint="eastAsia" w:ascii="宋体" w:hAnsi="宋体" w:cs="宋体"/>
          <w:sz w:val="32"/>
          <w:szCs w:val="32"/>
        </w:rPr>
      </w:pPr>
    </w:p>
    <w:p>
      <w:pPr>
        <w:spacing w:line="560" w:lineRule="exact"/>
        <w:jc w:val="right"/>
        <w:rPr>
          <w:rFonts w:hint="default" w:ascii="仿宋" w:hAnsi="仿宋" w:eastAsia="仿宋" w:cs="Times New Roman"/>
          <w:b/>
          <w:bCs/>
          <w:color w:val="C0000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32"/>
          <w:szCs w:val="32"/>
        </w:rPr>
        <w:t xml:space="preserve">                                       </w:t>
      </w:r>
    </w:p>
    <w:p>
      <w:pPr>
        <w:jc w:val="left"/>
        <w:rPr>
          <w:rFonts w:hint="eastAsia" w:ascii="仿宋" w:hAnsi="仿宋" w:eastAsia="仿宋" w:cs="Times New Roman"/>
          <w:b/>
          <w:bCs/>
          <w:color w:val="C00000"/>
          <w:kern w:val="0"/>
          <w:sz w:val="28"/>
          <w:szCs w:val="28"/>
        </w:rPr>
      </w:pPr>
    </w:p>
    <w:p>
      <w:pPr>
        <w:jc w:val="left"/>
        <w:rPr>
          <w:rFonts w:hint="eastAsia" w:ascii="仿宋" w:hAnsi="仿宋" w:eastAsia="仿宋" w:cs="Times New Roman"/>
          <w:b/>
          <w:bCs/>
          <w:color w:val="C00000"/>
          <w:kern w:val="0"/>
          <w:sz w:val="28"/>
          <w:szCs w:val="28"/>
        </w:rPr>
      </w:pPr>
    </w:p>
    <w:p>
      <w:pPr>
        <w:jc w:val="left"/>
        <w:rPr>
          <w:rFonts w:ascii="仿宋" w:hAnsi="仿宋" w:eastAsia="仿宋" w:cs="Times New Roman"/>
          <w:b/>
          <w:bCs/>
          <w:color w:val="C00000"/>
          <w:kern w:val="0"/>
          <w:sz w:val="28"/>
          <w:szCs w:val="28"/>
        </w:rPr>
      </w:pPr>
      <w:r>
        <w:rPr>
          <w:rFonts w:hint="eastAsia" w:ascii="仿宋" w:hAnsi="仿宋" w:eastAsia="仿宋" w:cs="Times New Roman"/>
          <w:b/>
          <w:bCs/>
          <w:color w:val="C00000"/>
          <w:kern w:val="0"/>
          <w:sz w:val="28"/>
          <w:szCs w:val="28"/>
        </w:rPr>
        <w:t>附</w:t>
      </w:r>
      <w:r>
        <w:rPr>
          <w:rFonts w:hint="eastAsia" w:ascii="仿宋" w:hAnsi="仿宋" w:eastAsia="仿宋" w:cs="Times New Roman"/>
          <w:b/>
          <w:bCs/>
          <w:color w:val="C00000"/>
          <w:kern w:val="0"/>
          <w:sz w:val="28"/>
          <w:szCs w:val="28"/>
          <w:lang w:val="en-US" w:eastAsia="zh-CN"/>
        </w:rPr>
        <w:t>件：</w:t>
      </w:r>
    </w:p>
    <w:p>
      <w:pPr>
        <w:spacing w:line="560" w:lineRule="exact"/>
        <w:ind w:firstLine="560" w:firstLineChars="200"/>
        <w:jc w:val="center"/>
        <w:rPr>
          <w:rFonts w:hint="eastAsia" w:ascii="宋体" w:hAnsi="宋体" w:eastAsia="宋体" w:cs="宋体"/>
          <w:b w:val="0"/>
          <w:bCs w:val="0"/>
          <w:sz w:val="28"/>
          <w:szCs w:val="28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vertAlign w:val="baseline"/>
          <w:lang w:val="en-US" w:eastAsia="zh-CN"/>
        </w:rPr>
        <w:t>人文选修课选课流程</w:t>
      </w:r>
    </w:p>
    <w:p>
      <w:pPr>
        <w:pStyle w:val="2"/>
        <w:jc w:val="center"/>
      </w:pPr>
      <w:r>
        <w:rPr>
          <w:rFonts w:hint="eastAsia"/>
        </w:rPr>
        <w:t>（PC端）</w:t>
      </w:r>
    </w:p>
    <w:p>
      <w:pPr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登陆学校教务系统网站：</w:t>
      </w:r>
      <w:r>
        <w:fldChar w:fldCharType="begin"/>
      </w:r>
      <w:r>
        <w:instrText xml:space="preserve"> HYPERLINK "http://hnlgzy.jw.chaoxing.com/admin" </w:instrText>
      </w:r>
      <w:r>
        <w:fldChar w:fldCharType="separate"/>
      </w:r>
      <w:r>
        <w:rPr>
          <w:rStyle w:val="7"/>
          <w:rFonts w:ascii="宋体" w:hAnsi="宋体" w:cs="宋体"/>
          <w:sz w:val="28"/>
          <w:szCs w:val="28"/>
        </w:rPr>
        <w:t>http://hnlgzy.jw.chaoxing.com/admin</w:t>
      </w:r>
      <w:r>
        <w:rPr>
          <w:rStyle w:val="7"/>
          <w:rFonts w:ascii="宋体" w:hAnsi="宋体" w:cs="宋体"/>
          <w:sz w:val="28"/>
          <w:szCs w:val="28"/>
        </w:rPr>
        <w:fldChar w:fldCharType="end"/>
      </w:r>
      <w:r>
        <w:rPr>
          <w:rFonts w:hint="eastAsia"/>
          <w:sz w:val="28"/>
          <w:szCs w:val="28"/>
          <w:u w:val="single"/>
        </w:rPr>
        <w:t xml:space="preserve"> </w:t>
      </w:r>
    </w:p>
    <w:p>
      <w:pPr>
        <w:rPr>
          <w:rFonts w:hint="default" w:eastAsia="宋体"/>
          <w:sz w:val="28"/>
          <w:szCs w:val="28"/>
          <w:lang w:val="en-US" w:eastAsia="zh-CN"/>
        </w:rPr>
      </w:pPr>
      <w:r>
        <w:rPr>
          <w:rFonts w:hint="default" w:eastAsia="宋体"/>
          <w:sz w:val="28"/>
          <w:szCs w:val="28"/>
          <w:lang w:val="en-US" w:eastAsia="zh-CN"/>
        </w:rPr>
        <w:drawing>
          <wp:inline distT="0" distB="0" distL="114300" distR="114300">
            <wp:extent cx="5266690" cy="2024380"/>
            <wp:effectExtent l="0" t="0" r="3810" b="7620"/>
            <wp:docPr id="5" name="图片 5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024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扫以上二维码登录，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登陆后进入</w:t>
      </w:r>
      <w:r>
        <w:rPr>
          <w:rFonts w:hint="eastAsia"/>
          <w:color w:val="FF0000"/>
          <w:sz w:val="28"/>
          <w:szCs w:val="28"/>
          <w:u w:val="single"/>
        </w:rPr>
        <w:t>学生端—选课</w:t>
      </w:r>
      <w:r>
        <w:rPr>
          <w:rFonts w:hint="eastAsia"/>
          <w:sz w:val="28"/>
          <w:szCs w:val="28"/>
        </w:rPr>
        <w:t xml:space="preserve"> 界面 即可进行选课操作。</w:t>
      </w:r>
    </w:p>
    <w:p>
      <w:r>
        <w:drawing>
          <wp:inline distT="0" distB="0" distL="114300" distR="114300">
            <wp:extent cx="5266690" cy="2117725"/>
            <wp:effectExtent l="0" t="0" r="3810" b="3175"/>
            <wp:docPr id="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11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rPr>
          <w:rFonts w:hint="eastAsia"/>
          <w:b/>
          <w:sz w:val="28"/>
          <w:szCs w:val="28"/>
        </w:rPr>
      </w:pPr>
    </w:p>
    <w:p>
      <w:pPr>
        <w:rPr>
          <w:rFonts w:hint="eastAsia"/>
          <w:b/>
          <w:sz w:val="28"/>
          <w:szCs w:val="28"/>
        </w:rPr>
      </w:pPr>
    </w:p>
    <w:p>
      <w:pPr>
        <w:rPr>
          <w:rFonts w:hint="eastAsia"/>
          <w:b/>
          <w:sz w:val="28"/>
          <w:szCs w:val="28"/>
        </w:rPr>
      </w:pPr>
    </w:p>
    <w:p>
      <w:pPr>
        <w:rPr>
          <w:rFonts w:hint="eastAsia"/>
          <w:b/>
          <w:sz w:val="28"/>
          <w:szCs w:val="28"/>
        </w:rPr>
      </w:pPr>
    </w:p>
    <w:p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选课状态</w:t>
      </w:r>
    </w:p>
    <w:p>
      <w:r>
        <w:drawing>
          <wp:inline distT="0" distB="0" distL="114300" distR="114300">
            <wp:extent cx="5266690" cy="2425065"/>
            <wp:effectExtent l="0" t="0" r="3810" b="635"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25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选课后，系统会标记课程的已选未选状态，人数达到上限后，也会做出选满提示。</w:t>
      </w:r>
    </w:p>
    <w:p>
      <w:pPr>
        <w:rPr>
          <w:sz w:val="28"/>
          <w:szCs w:val="28"/>
        </w:rPr>
      </w:pPr>
    </w:p>
    <w:p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退课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选课后，可以点击右侧【取消】按钮，进行退课操作。（仅限选课开放时间内可操作）</w:t>
      </w:r>
    </w:p>
    <w:p>
      <w:r>
        <w:drawing>
          <wp:inline distT="0" distB="0" distL="114300" distR="114300">
            <wp:extent cx="5272405" cy="2450465"/>
            <wp:effectExtent l="0" t="0" r="10795" b="635"/>
            <wp:docPr id="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450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rPr>
          <w:rFonts w:hint="eastAsia"/>
          <w:b/>
          <w:sz w:val="28"/>
          <w:szCs w:val="28"/>
        </w:rPr>
      </w:pPr>
    </w:p>
    <w:p>
      <w:pPr>
        <w:rPr>
          <w:rFonts w:hint="eastAsia"/>
          <w:b/>
          <w:sz w:val="28"/>
          <w:szCs w:val="28"/>
        </w:rPr>
      </w:pPr>
    </w:p>
    <w:p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选课结束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选课确认无误后，学生可点击信息查询—我的课表 查看已选课程的上课详细信息。</w:t>
      </w:r>
    </w:p>
    <w:p>
      <w:r>
        <w:drawing>
          <wp:inline distT="0" distB="0" distL="114300" distR="114300">
            <wp:extent cx="5264150" cy="2350770"/>
            <wp:effectExtent l="0" t="0" r="6350" b="11430"/>
            <wp:docPr id="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350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b/>
          <w:bCs/>
          <w:color w:val="FF0000"/>
        </w:rPr>
      </w:pPr>
    </w:p>
    <w:p>
      <w:pPr>
        <w:rPr>
          <w:rFonts w:ascii="仿宋" w:hAnsi="仿宋" w:eastAsia="仿宋" w:cs="仿宋"/>
          <w:b/>
          <w:bCs/>
          <w:color w:val="FF0000"/>
        </w:rPr>
      </w:pPr>
      <w:r>
        <w:rPr>
          <w:rFonts w:hint="eastAsia" w:ascii="仿宋" w:hAnsi="仿宋" w:eastAsia="仿宋" w:cs="仿宋"/>
          <w:b/>
          <w:bCs/>
          <w:color w:val="FF0000"/>
          <w:sz w:val="28"/>
          <w:szCs w:val="28"/>
        </w:rPr>
        <w:t>提示：在选课时间未截止时，学生可以点击退课，来更改自己的选课计划。选课时间截止，选课停止开放。</w:t>
      </w:r>
    </w:p>
    <w:p>
      <w:pPr>
        <w:pStyle w:val="2"/>
        <w:ind w:firstLine="3373" w:firstLineChars="1400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（手机端）</w:t>
      </w:r>
    </w:p>
    <w:p>
      <w:pPr>
        <w:pStyle w:val="3"/>
        <w:numPr>
          <w:ilvl w:val="0"/>
          <w:numId w:val="1"/>
        </w:numPr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登录</w:t>
      </w:r>
    </w:p>
    <w:p>
      <w:pPr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打开学习通，并登陆。进入学校首页，邀请码为：</w:t>
      </w:r>
      <w:r>
        <w:rPr>
          <w:rFonts w:hint="eastAsia" w:ascii="仿宋" w:hAnsi="仿宋" w:eastAsia="仿宋" w:cs="仿宋"/>
          <w:color w:val="C00000"/>
          <w:sz w:val="28"/>
          <w:szCs w:val="28"/>
          <w:highlight w:val="yellow"/>
        </w:rPr>
        <w:t xml:space="preserve">hnlgzyjw </w:t>
      </w:r>
      <w:r>
        <w:rPr>
          <w:rFonts w:hint="eastAsia" w:ascii="仿宋" w:hAnsi="仿宋" w:eastAsia="仿宋" w:cs="仿宋"/>
          <w:sz w:val="28"/>
          <w:szCs w:val="28"/>
        </w:rPr>
        <w:t xml:space="preserve"> 点击【我的选课】应用，进入选课进入后界面如下：</w:t>
      </w:r>
    </w:p>
    <w:p>
      <w:pPr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如要进行选课。即可</w:t>
      </w:r>
      <w:r>
        <w:rPr>
          <w:rFonts w:hint="eastAsia" w:ascii="仿宋" w:hAnsi="仿宋" w:eastAsia="仿宋" w:cs="仿宋"/>
          <w:color w:val="FF0000"/>
          <w:sz w:val="28"/>
          <w:szCs w:val="28"/>
        </w:rPr>
        <w:t>点击“选课”</w:t>
      </w:r>
      <w:r>
        <w:rPr>
          <w:rFonts w:hint="eastAsia" w:ascii="仿宋" w:hAnsi="仿宋" w:eastAsia="仿宋" w:cs="仿宋"/>
          <w:sz w:val="28"/>
          <w:szCs w:val="28"/>
        </w:rPr>
        <w:t>进入选课页面。如图：</w:t>
      </w:r>
    </w:p>
    <w:p>
      <w:pPr>
        <w:rPr>
          <w:sz w:val="22"/>
          <w:szCs w:val="22"/>
        </w:rPr>
      </w:pPr>
    </w:p>
    <w:p>
      <w:pPr>
        <w:rPr>
          <w:sz w:val="22"/>
          <w:szCs w:val="22"/>
        </w:rPr>
      </w:pPr>
    </w:p>
    <w:p>
      <w:pPr>
        <w:rPr>
          <w:rFonts w:eastAsiaTheme="minorEastAsia"/>
          <w:sz w:val="22"/>
          <w:szCs w:val="22"/>
        </w:rPr>
      </w:pPr>
      <w:r>
        <w:rPr>
          <w:rFonts w:hint="eastAsia"/>
          <w:sz w:val="22"/>
          <w:szCs w:val="22"/>
        </w:rPr>
        <w:t xml:space="preserve">   </w:t>
      </w:r>
    </w:p>
    <w:p>
      <w:pPr>
        <w:rPr>
          <w:rFonts w:ascii="仿宋" w:hAnsi="仿宋" w:eastAsia="仿宋" w:cs="仿宋"/>
        </w:rPr>
      </w:pPr>
      <w:r>
        <w:drawing>
          <wp:inline distT="0" distB="0" distL="114300" distR="114300">
            <wp:extent cx="4448175" cy="6936740"/>
            <wp:effectExtent l="0" t="0" r="9525" b="1651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rcRect t="2848"/>
                    <a:stretch>
                      <a:fillRect/>
                    </a:stretch>
                  </pic:blipFill>
                  <pic:spPr>
                    <a:xfrm>
                      <a:off x="0" y="0"/>
                      <a:ext cx="4448175" cy="693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仿宋" w:hAnsi="仿宋" w:eastAsia="仿宋" w:cs="仿宋"/>
        </w:rPr>
      </w:pPr>
    </w:p>
    <w:p>
      <w:pPr>
        <w:widowControl/>
        <w:jc w:val="left"/>
        <w:rPr>
          <w:rFonts w:ascii="仿宋" w:hAnsi="仿宋" w:eastAsia="仿宋" w:cs="仿宋"/>
          <w:kern w:val="0"/>
          <w:sz w:val="24"/>
          <w:szCs w:val="24"/>
        </w:rPr>
      </w:pPr>
      <w:r>
        <w:rPr>
          <w:rFonts w:hint="eastAsia" w:ascii="仿宋" w:hAnsi="仿宋" w:eastAsia="仿宋" w:cs="仿宋"/>
          <w:kern w:val="0"/>
          <w:sz w:val="24"/>
          <w:szCs w:val="24"/>
        </w:rPr>
        <w:fldChar w:fldCharType="begin"/>
      </w:r>
      <w:r>
        <w:rPr>
          <w:rFonts w:hint="eastAsia" w:ascii="仿宋" w:hAnsi="仿宋" w:eastAsia="仿宋" w:cs="仿宋"/>
          <w:kern w:val="0"/>
          <w:sz w:val="24"/>
          <w:szCs w:val="24"/>
        </w:rPr>
        <w:instrText xml:space="preserve"> INCLUDEPICTURE "C:\\Users\\DUDU\\Documents\\Tencent Files\\383868103\\Image\\Group\\1QQKXAEX9U83K]JSD9]7`LC.png" \* MERGEFORMATINET </w:instrText>
      </w:r>
      <w:r>
        <w:rPr>
          <w:rFonts w:hint="eastAsia" w:ascii="仿宋" w:hAnsi="仿宋" w:eastAsia="仿宋" w:cs="仿宋"/>
          <w:kern w:val="0"/>
          <w:sz w:val="24"/>
          <w:szCs w:val="24"/>
        </w:rPr>
        <w:fldChar w:fldCharType="separate"/>
      </w:r>
      <w:r>
        <w:rPr>
          <w:rFonts w:hint="eastAsia" w:ascii="仿宋" w:hAnsi="仿宋" w:eastAsia="仿宋" w:cs="仿宋"/>
          <w:kern w:val="0"/>
          <w:sz w:val="24"/>
          <w:szCs w:val="24"/>
        </w:rPr>
        <w:drawing>
          <wp:inline distT="0" distB="0" distL="114300" distR="114300">
            <wp:extent cx="3498215" cy="5755640"/>
            <wp:effectExtent l="0" t="0" r="6985" b="10160"/>
            <wp:docPr id="43" name="图片 43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 descr="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498215" cy="5755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kern w:val="0"/>
          <w:sz w:val="24"/>
          <w:szCs w:val="24"/>
        </w:rPr>
        <w:fldChar w:fldCharType="end"/>
      </w:r>
    </w:p>
    <w:p>
      <w:pPr>
        <w:rPr>
          <w:rFonts w:hint="eastAsia"/>
          <w:b/>
          <w:bCs/>
          <w:color w:val="FF0000"/>
        </w:rPr>
      </w:pPr>
      <w:r>
        <w:rPr>
          <w:rFonts w:hint="eastAsia"/>
          <w:b/>
          <w:bCs/>
          <w:color w:val="FF0000"/>
        </w:rPr>
        <w:t xml:space="preserve">                         </w:t>
      </w:r>
    </w:p>
    <w:p>
      <w:pPr>
        <w:rPr>
          <w:rFonts w:hint="eastAsia" w:eastAsia="宋体"/>
          <w:b/>
          <w:bCs/>
          <w:color w:val="FF0000"/>
          <w:lang w:eastAsia="zh-CN"/>
        </w:rPr>
      </w:pPr>
      <w:r>
        <w:rPr>
          <w:rFonts w:hint="eastAsia"/>
          <w:b/>
          <w:bCs/>
          <w:color w:val="FF0000"/>
          <w:sz w:val="28"/>
          <w:szCs w:val="28"/>
          <w:lang w:val="en-US" w:eastAsia="zh-CN"/>
        </w:rPr>
        <w:t xml:space="preserve">如选课遇到问题，请在企业微信中联系相关老师进行解决。         </w:t>
      </w:r>
      <w:r>
        <w:rPr>
          <w:rFonts w:hint="eastAsia"/>
          <w:b/>
          <w:bCs/>
          <w:color w:val="FF0000"/>
          <w:lang w:val="en-US" w:eastAsia="zh-CN"/>
        </w:rPr>
        <w:t xml:space="preserve">               </w:t>
      </w:r>
    </w:p>
    <w:p>
      <w:pPr>
        <w:rPr>
          <w:b/>
          <w:bCs/>
          <w:color w:val="FF0000"/>
        </w:rPr>
      </w:pPr>
    </w:p>
    <w:p>
      <w:pPr>
        <w:rPr>
          <w:b/>
          <w:bCs/>
          <w:color w:val="FF0000"/>
        </w:rPr>
      </w:pPr>
      <w:r>
        <w:rPr>
          <w:rFonts w:hint="eastAsia"/>
          <w:b/>
          <w:bCs/>
          <w:color w:val="FF0000"/>
        </w:rPr>
        <w:t xml:space="preserve">                                                                  </w:t>
      </w:r>
    </w:p>
    <w:p>
      <w:pPr>
        <w:rPr>
          <w:rFonts w:ascii="仿宋" w:hAnsi="仿宋" w:eastAsia="仿宋" w:cs="Times New Roman"/>
          <w:b/>
          <w:bCs/>
          <w:kern w:val="0"/>
          <w:sz w:val="28"/>
          <w:szCs w:val="28"/>
        </w:rPr>
      </w:pPr>
    </w:p>
    <w:p>
      <w:pPr>
        <w:ind w:firstLine="562" w:firstLineChars="200"/>
        <w:rPr>
          <w:rFonts w:ascii="仿宋" w:hAnsi="仿宋" w:eastAsia="仿宋" w:cs="Times New Roman"/>
          <w:b/>
          <w:bCs/>
          <w:kern w:val="0"/>
          <w:sz w:val="28"/>
          <w:szCs w:val="28"/>
        </w:rPr>
      </w:pPr>
    </w:p>
    <w:p>
      <w:pPr>
        <w:rPr>
          <w:rFonts w:ascii="仿宋" w:hAnsi="仿宋" w:eastAsia="仿宋" w:cs="Times New Roman"/>
          <w:b/>
          <w:bCs/>
          <w:kern w:val="0"/>
          <w:sz w:val="28"/>
          <w:szCs w:val="28"/>
        </w:rPr>
      </w:pPr>
      <w:bookmarkStart w:id="0" w:name="_GoBack"/>
      <w:bookmarkEnd w:id="0"/>
    </w:p>
    <w:p/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5B82C48"/>
    <w:multiLevelType w:val="multilevel"/>
    <w:tmpl w:val="55B82C48"/>
    <w:lvl w:ilvl="0" w:tentative="0">
      <w:start w:val="1"/>
      <w:numFmt w:val="japaneseCounting"/>
      <w:lvlText w:val="%1、"/>
      <w:lvlJc w:val="left"/>
      <w:pPr>
        <w:ind w:left="576" w:hanging="576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Y2ZWIwNGEwZTBlMGJhOWFlMzljYWZlZGNkN2JmM2MifQ=="/>
  </w:docVars>
  <w:rsids>
    <w:rsidRoot w:val="0CF3663B"/>
    <w:rsid w:val="01392367"/>
    <w:rsid w:val="08ED6E6B"/>
    <w:rsid w:val="09E547A2"/>
    <w:rsid w:val="0CF3663B"/>
    <w:rsid w:val="14984FFD"/>
    <w:rsid w:val="19B2356A"/>
    <w:rsid w:val="1CDA66CF"/>
    <w:rsid w:val="20987265"/>
    <w:rsid w:val="2542094E"/>
    <w:rsid w:val="2797420C"/>
    <w:rsid w:val="3E4E3106"/>
    <w:rsid w:val="488D53F7"/>
    <w:rsid w:val="54D25C95"/>
    <w:rsid w:val="5F3C65FC"/>
    <w:rsid w:val="651A04AE"/>
    <w:rsid w:val="6934747A"/>
    <w:rsid w:val="6BFC271A"/>
    <w:rsid w:val="6C7921CE"/>
    <w:rsid w:val="74480110"/>
    <w:rsid w:val="75E65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semiHidden="0" w:name="heading 3"/>
    <w:lsdException w:qFormat="1" w:uiPriority="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3">
    <w:name w:val="heading 4"/>
    <w:basedOn w:val="1"/>
    <w:next w:val="1"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5">
    <w:name w:val="Table Grid"/>
    <w:basedOn w:val="4"/>
    <w:qFormat/>
    <w:uiPriority w:val="99"/>
    <w:pPr>
      <w:widowControl w:val="0"/>
      <w:jc w:val="both"/>
    </w:pPr>
    <w:rPr>
      <w:rFonts w:cs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semiHidden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824</Words>
  <Characters>921</Characters>
  <Lines>0</Lines>
  <Paragraphs>0</Paragraphs>
  <TotalTime>166</TotalTime>
  <ScaleCrop>false</ScaleCrop>
  <LinksUpToDate>false</LinksUpToDate>
  <CharactersWithSpaces>1088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2022-09-15T07:42:00Z</dcterms:created>
  <dc:creator>kitty</dc:creator>
  <cp:lastModifiedBy>HP-01</cp:lastModifiedBy>
  <dcterms:modified xsi:type="dcterms:W3CDTF">2022-09-26T07:57:33Z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2A501714E07448CDB83213CBDC74E399</vt:lpwstr>
  </property>
</Properties>
</file>