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45EDEA">
      <w:pPr>
        <w:pStyle w:val="2"/>
        <w:spacing w:before="41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</w:rPr>
        <w:t>附件1</w:t>
      </w:r>
    </w:p>
    <w:bookmarkEnd w:id="0"/>
    <w:p w14:paraId="2CC4EE7E">
      <w:pPr>
        <w:pStyle w:val="2"/>
        <w:spacing w:before="7"/>
        <w:rPr>
          <w:rFonts w:ascii="Times New Roman" w:hAnsi="Times New Roman" w:eastAsia="方正仿宋_GB2312" w:cs="Times New Roman"/>
          <w:sz w:val="32"/>
          <w:szCs w:val="32"/>
        </w:rPr>
      </w:pPr>
    </w:p>
    <w:p w14:paraId="19FE325E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/>
        </w:rPr>
        <w:t>湖南省职业教育与成人教育学会</w:t>
      </w:r>
    </w:p>
    <w:p w14:paraId="47DEFB6B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/>
        </w:rPr>
        <w:t>科研规划课题（2024-2025）申报指南</w:t>
      </w:r>
    </w:p>
    <w:p w14:paraId="50600559">
      <w:pPr>
        <w:rPr>
          <w:rFonts w:hint="eastAsia" w:ascii="仿宋" w:hAnsi="仿宋" w:eastAsia="仿宋" w:cs="仿宋"/>
          <w:sz w:val="32"/>
          <w:szCs w:val="32"/>
          <w:lang w:val="en-US"/>
        </w:rPr>
      </w:pPr>
    </w:p>
    <w:p w14:paraId="0EB9FA22">
      <w:pPr>
        <w:pStyle w:val="2"/>
        <w:adjustRightInd w:val="0"/>
        <w:snapToGrid w:val="0"/>
        <w:spacing w:line="5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本指南所提供的内容仅为课题研究领域和方向，供选题时参</w:t>
      </w:r>
      <w:r>
        <w:rPr>
          <w:rFonts w:ascii="Times New Roman" w:hAnsi="Times New Roman" w:eastAsia="仿宋_GB2312" w:cs="Times New Roman"/>
          <w:spacing w:val="-11"/>
          <w:sz w:val="32"/>
          <w:szCs w:val="32"/>
        </w:rPr>
        <w:t>考，可直接作为课题题目，也可根据课题指南方向，兼顾自身的</w:t>
      </w:r>
      <w:r>
        <w:rPr>
          <w:rFonts w:ascii="Times New Roman" w:hAnsi="Times New Roman" w:eastAsia="仿宋_GB2312" w:cs="Times New Roman"/>
          <w:spacing w:val="-10"/>
          <w:sz w:val="32"/>
          <w:szCs w:val="32"/>
        </w:rPr>
        <w:t>研究基础和优势，自主确定研究题目，以提高研究的针对性与实</w:t>
      </w:r>
      <w:r>
        <w:rPr>
          <w:rFonts w:ascii="Times New Roman" w:hAnsi="Times New Roman" w:eastAsia="仿宋_GB2312" w:cs="Times New Roman"/>
          <w:sz w:val="32"/>
          <w:szCs w:val="32"/>
        </w:rPr>
        <w:t>效性。</w:t>
      </w:r>
    </w:p>
    <w:p w14:paraId="0FBD92D1">
      <w:pPr>
        <w:pStyle w:val="2"/>
        <w:spacing w:before="41" w:line="560" w:lineRule="exact"/>
        <w:rPr>
          <w:rFonts w:hint="eastAsia" w:ascii="黑体" w:hAnsi="黑体" w:eastAsia="黑体" w:cs="黑体"/>
          <w:sz w:val="32"/>
          <w:szCs w:val="32"/>
        </w:rPr>
      </w:pPr>
    </w:p>
    <w:p w14:paraId="76B612B2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/>
        </w:rPr>
        <w:t>1.职普融通、产教融合的职业教育体系</w:t>
      </w:r>
    </w:p>
    <w:p w14:paraId="41F82E66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ascii="Times New Roman" w:hAnsi="Times New Roman" w:eastAsia="仿宋_GB2312" w:cs="Times New Roman"/>
          <w:sz w:val="32"/>
          <w:szCs w:val="32"/>
          <w:lang w:val="en-US"/>
        </w:rPr>
        <w:t>2.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/>
        </w:rPr>
        <w:t>新一轮国家“双高”建设</w:t>
      </w:r>
    </w:p>
    <w:p w14:paraId="6918E315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ascii="Times New Roman" w:hAnsi="Times New Roman" w:eastAsia="仿宋_GB2312" w:cs="Times New Roman"/>
          <w:sz w:val="32"/>
          <w:szCs w:val="32"/>
          <w:lang w:val="en-US"/>
        </w:rPr>
        <w:t>3.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/>
        </w:rPr>
        <w:t>湖南“楚怡”项目建设</w:t>
      </w:r>
    </w:p>
    <w:p w14:paraId="7ACC8946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ascii="Times New Roman" w:hAnsi="Times New Roman" w:eastAsia="仿宋_GB2312" w:cs="Times New Roman"/>
          <w:sz w:val="32"/>
          <w:szCs w:val="32"/>
          <w:lang w:val="en-US"/>
        </w:rPr>
        <w:t>4.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/>
        </w:rPr>
        <w:t>高等职业教育分类发展</w:t>
      </w:r>
    </w:p>
    <w:p w14:paraId="13BB2ACF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ascii="Times New Roman" w:hAnsi="Times New Roman" w:eastAsia="仿宋_GB2312" w:cs="Times New Roman"/>
          <w:sz w:val="32"/>
          <w:szCs w:val="32"/>
          <w:lang w:val="en-US"/>
        </w:rPr>
        <w:t>5.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/>
        </w:rPr>
        <w:t>本科职业教育发展</w:t>
      </w:r>
    </w:p>
    <w:p w14:paraId="0E65FBBA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ascii="Times New Roman" w:hAnsi="Times New Roman" w:eastAsia="仿宋_GB2312" w:cs="Times New Roman"/>
          <w:sz w:val="32"/>
          <w:szCs w:val="32"/>
          <w:lang w:val="en-US"/>
        </w:rPr>
        <w:t>6.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/>
        </w:rPr>
        <w:t>中职学校发展</w:t>
      </w:r>
    </w:p>
    <w:p w14:paraId="7976CEB5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ascii="Times New Roman" w:hAnsi="Times New Roman" w:eastAsia="仿宋_GB2312" w:cs="Times New Roman"/>
          <w:sz w:val="32"/>
          <w:szCs w:val="32"/>
          <w:lang w:val="en-US"/>
        </w:rPr>
        <w:t>7.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/>
        </w:rPr>
        <w:t>新质生产力发展与职业教育的新使命</w:t>
      </w:r>
    </w:p>
    <w:p w14:paraId="5DE4E22C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ascii="Times New Roman" w:hAnsi="Times New Roman" w:eastAsia="仿宋_GB2312" w:cs="Times New Roman"/>
          <w:sz w:val="32"/>
          <w:szCs w:val="32"/>
          <w:lang w:val="en-US"/>
        </w:rPr>
        <w:t>8.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/>
        </w:rPr>
        <w:t>行业院校改革与发展</w:t>
      </w:r>
    </w:p>
    <w:p w14:paraId="30C5ABE5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ascii="Times New Roman" w:hAnsi="Times New Roman" w:eastAsia="仿宋_GB2312" w:cs="Times New Roman"/>
          <w:sz w:val="32"/>
          <w:szCs w:val="32"/>
          <w:lang w:val="en-US"/>
        </w:rPr>
        <w:t>9.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/>
        </w:rPr>
        <w:t>职业院校数字化转型发展</w:t>
      </w:r>
    </w:p>
    <w:p w14:paraId="2A6037F9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/>
        </w:rPr>
        <w:t>10.产业学院建设</w:t>
      </w:r>
    </w:p>
    <w:p w14:paraId="485025BF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/>
        </w:rPr>
        <w:t>11.职业院校内控制度建设</w:t>
      </w:r>
    </w:p>
    <w:p w14:paraId="45C4E581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/>
        </w:rPr>
        <w:t>12.“五金”建设</w:t>
      </w:r>
    </w:p>
    <w:p w14:paraId="2DA56CE4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/>
        </w:rPr>
        <w:t>13.职业教育产教融合建设</w:t>
      </w:r>
    </w:p>
    <w:p w14:paraId="3E4F374D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/>
        </w:rPr>
        <w:t>14.人才培养与教育教学改革</w:t>
      </w:r>
    </w:p>
    <w:p w14:paraId="000961F7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/>
        </w:rPr>
        <w:t>15.党的建设</w:t>
      </w:r>
    </w:p>
    <w:p w14:paraId="02FFDDCF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/>
        </w:rPr>
        <w:t>16.思想政治与课程思政</w:t>
      </w:r>
    </w:p>
    <w:p w14:paraId="2CECED99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/>
        </w:rPr>
        <w:t>17.学生工作和辅导员队伍建设</w:t>
      </w:r>
    </w:p>
    <w:p w14:paraId="1863CBD6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/>
        </w:rPr>
        <w:t>18.学生学习问题研究</w:t>
      </w:r>
    </w:p>
    <w:p w14:paraId="478F9C6B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/>
        </w:rPr>
        <w:t>19.心理健康教育</w:t>
      </w:r>
    </w:p>
    <w:p w14:paraId="6B70A03E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/>
        </w:rPr>
        <w:t>19.安全教育</w:t>
      </w:r>
    </w:p>
    <w:p w14:paraId="5AC04F87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/>
        </w:rPr>
        <w:t>20.劳动教育</w:t>
      </w:r>
    </w:p>
    <w:p w14:paraId="1EB7C231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/>
        </w:rPr>
        <w:t>21.美育教育</w:t>
      </w:r>
    </w:p>
    <w:p w14:paraId="0AA1849B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/>
        </w:rPr>
        <w:t>22.终身教育</w:t>
      </w:r>
    </w:p>
    <w:p w14:paraId="4E9318F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VhNGJiMWVmZTg4ZjFhYWZhYWFiMzBkODkwYWRkZmUifQ=="/>
  </w:docVars>
  <w:rsids>
    <w:rsidRoot w:val="2C597AE4"/>
    <w:rsid w:val="2C597AE4"/>
    <w:rsid w:val="54B80B8E"/>
    <w:rsid w:val="77F2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2024-08-30T09:19:00Z</dcterms:created>
  <dc:creator>宁溪</dc:creator>
  <cp:lastModifiedBy>宁溪</cp:lastModifiedBy>
  <dcterms:modified xsi:type="dcterms:W3CDTF">2024-08-30T09:20:46Z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C24185BB20024E538B4064CC6C3E4F59_13</vt:lpwstr>
  </property>
</Properties>
</file>