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7D261">
      <w:pPr>
        <w:jc w:val="center"/>
        <w:rPr>
          <w:rFonts w:hint="eastAsia" w:ascii="方正小标宋简体" w:hAnsi="方正小标宋简体" w:eastAsia="方正小标宋简体" w:cs="方正小标宋简体"/>
          <w:b/>
          <w:bCs/>
          <w:color w:val="FF0000"/>
          <w:spacing w:val="40"/>
          <w:w w:val="55"/>
          <w:sz w:val="96"/>
          <w:szCs w:val="96"/>
          <w:lang w:val="en-US" w:eastAsia="zh-CN"/>
        </w:rPr>
      </w:pPr>
      <w:r>
        <w:rPr>
          <w:rFonts w:hint="eastAsia" w:ascii="方正小标宋简体" w:hAnsi="方正小标宋简体" w:eastAsia="方正小标宋简体" w:cs="方正小标宋简体"/>
          <w:b/>
          <w:bCs/>
          <w:color w:val="FF0000"/>
          <w:spacing w:val="40"/>
          <w:w w:val="55"/>
          <w:sz w:val="96"/>
          <w:szCs w:val="96"/>
          <w:lang w:val="en-US" w:eastAsia="zh-CN"/>
        </w:rPr>
        <w:t>湖南省职业教育与成人教育学会</w:t>
      </w:r>
    </w:p>
    <w:p w14:paraId="1033490F">
      <w:pPr>
        <w:jc w:val="right"/>
        <w:rPr>
          <w:rFonts w:hint="eastAsia" w:ascii="方正小标宋简体" w:hAnsi="方正小标宋简体" w:eastAsia="方正小标宋简体" w:cs="方正小标宋简体"/>
          <w:b w:val="0"/>
          <w:bCs/>
          <w:sz w:val="44"/>
          <w:szCs w:val="44"/>
        </w:rPr>
      </w:pPr>
      <w:r>
        <w:rPr>
          <w:rFonts w:hint="eastAsia" w:ascii="方正小标宋简体" w:eastAsia="方正小标宋简体"/>
        </w:rPr>
        <mc:AlternateContent>
          <mc:Choice Requires="wps">
            <w:drawing>
              <wp:anchor distT="0" distB="0" distL="114300" distR="114300" simplePos="0" relativeHeight="251659264" behindDoc="0" locked="0" layoutInCell="1" allowOverlap="1">
                <wp:simplePos x="0" y="0"/>
                <wp:positionH relativeFrom="margin">
                  <wp:posOffset>59055</wp:posOffset>
                </wp:positionH>
                <wp:positionV relativeFrom="paragraph">
                  <wp:posOffset>25400</wp:posOffset>
                </wp:positionV>
                <wp:extent cx="5645150" cy="5080"/>
                <wp:effectExtent l="0" t="0" r="0" b="0"/>
                <wp:wrapNone/>
                <wp:docPr id="768536979"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45150" cy="5080"/>
                        </a:xfrm>
                        <a:prstGeom prst="line">
                          <a:avLst/>
                        </a:prstGeom>
                        <a:noFill/>
                        <a:ln w="28575" cap="flat" cmpd="sng" algn="ctr">
                          <a:solidFill>
                            <a:srgbClr val="FF0000"/>
                          </a:solidFill>
                          <a:prstDash val="solid"/>
                          <a:miter lim="800000"/>
                        </a:ln>
                      </wps:spPr>
                      <wps:bodyPr/>
                    </wps:wsp>
                  </a:graphicData>
                </a:graphic>
              </wp:anchor>
            </w:drawing>
          </mc:Choice>
          <mc:Fallback>
            <w:pict>
              <v:line id="直接连接符 2" o:spid="_x0000_s1026" o:spt="20" style="position:absolute;left:0pt;margin-left:4.65pt;margin-top:2pt;height:0.4pt;width:444.5pt;mso-position-horizontal-relative:margin;z-index:251659264;mso-width-relative:page;mso-height-relative:page;" filled="f" stroked="t" coordsize="21600,21600" o:gfxdata="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C707O1QAAAAUBAAAPAAAA&#10;AAAAAAEAIAAAACIAAABkcnMvZG93bnJldi54bWxQSwECFAAUAAAACACHTuJAyzuNvhgCAAD9AwAA&#10;DgAAAAAAAAABACAAAAAkAQAAZHJzL2Uyb0RvYy54bWxQSwUGAAAAAAYABgBZAQAArgUAAAAA&#10;">
                <v:fill on="f" focussize="0,0"/>
                <v:stroke weight="2.25pt" color="#FF0000" miterlimit="8" joinstyle="miter"/>
                <v:imagedata o:title=""/>
                <o:lock v:ext="edit" aspectratio="f"/>
              </v:line>
            </w:pict>
          </mc:Fallback>
        </mc:AlternateContent>
      </w:r>
      <w:r>
        <w:rPr>
          <w:rFonts w:hint="eastAsia" w:ascii="仿宋" w:hAnsi="仿宋" w:eastAsia="仿宋" w:cs="仿宋"/>
          <w:color w:val="000000"/>
          <w:sz w:val="32"/>
          <w:szCs w:val="32"/>
        </w:rPr>
        <w:t>湘职成学会</w:t>
      </w:r>
      <w:r>
        <w:rPr>
          <w:rFonts w:hint="eastAsia" w:ascii="宋体" w:hAnsi="宋体" w:cs="宋体"/>
          <w:color w:val="000000"/>
          <w:sz w:val="32"/>
          <w:szCs w:val="32"/>
        </w:rPr>
        <w:t>〔</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5</w:t>
      </w:r>
      <w:r>
        <w:rPr>
          <w:rFonts w:hint="eastAsia" w:ascii="宋体" w:hAnsi="宋体" w:cs="宋体"/>
          <w:color w:val="000000"/>
          <w:sz w:val="32"/>
          <w:szCs w:val="32"/>
        </w:rPr>
        <w:t>〕</w:t>
      </w:r>
      <w:r>
        <w:rPr>
          <w:rFonts w:hint="eastAsia" w:ascii="宋体" w:hAnsi="宋体" w:cs="宋体"/>
          <w:color w:val="000000"/>
          <w:sz w:val="32"/>
          <w:szCs w:val="32"/>
          <w:lang w:val="en-US" w:eastAsia="zh-CN"/>
        </w:rPr>
        <w:t>17</w:t>
      </w:r>
      <w:r>
        <w:rPr>
          <w:rFonts w:hint="eastAsia" w:ascii="仿宋" w:hAnsi="仿宋" w:eastAsia="仿宋" w:cs="仿宋"/>
          <w:color w:val="000000"/>
          <w:sz w:val="32"/>
          <w:szCs w:val="32"/>
        </w:rPr>
        <w:t>号</w:t>
      </w:r>
    </w:p>
    <w:p w14:paraId="775DA43B">
      <w:pPr>
        <w:keepNext w:val="0"/>
        <w:keepLines w:val="0"/>
        <w:pageBreakBefore w:val="0"/>
        <w:widowControl w:val="0"/>
        <w:kinsoku/>
        <w:wordWrap/>
        <w:overflowPunct/>
        <w:topLinePunct w:val="0"/>
        <w:bidi w:val="0"/>
        <w:adjustRightInd/>
        <w:spacing w:line="500" w:lineRule="exact"/>
        <w:jc w:val="both"/>
        <w:textAlignment w:val="auto"/>
        <w:rPr>
          <w:rFonts w:hint="eastAsia" w:ascii="方正小标宋简体" w:hAnsi="方正小标宋简体" w:eastAsia="方正小标宋简体" w:cs="方正小标宋简体"/>
          <w:b w:val="0"/>
          <w:bCs/>
          <w:sz w:val="44"/>
          <w:szCs w:val="44"/>
        </w:rPr>
      </w:pPr>
    </w:p>
    <w:p w14:paraId="61FBDDD7">
      <w:pPr>
        <w:keepNext w:val="0"/>
        <w:keepLines w:val="0"/>
        <w:pageBreakBefore w:val="0"/>
        <w:widowControl w:val="0"/>
        <w:kinsoku/>
        <w:wordWrap/>
        <w:overflowPunct/>
        <w:topLinePunct w:val="0"/>
        <w:bidi w:val="0"/>
        <w:adjustRightInd/>
        <w:spacing w:line="5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关于开展</w:t>
      </w:r>
      <w:r>
        <w:rPr>
          <w:rFonts w:hint="eastAsia" w:ascii="方正小标宋简体" w:hAnsi="方正小标宋简体" w:eastAsia="方正小标宋简体" w:cs="方正小标宋简体"/>
          <w:b w:val="0"/>
          <w:bCs/>
          <w:sz w:val="44"/>
          <w:szCs w:val="44"/>
          <w:lang w:val="en-US" w:eastAsia="zh-CN"/>
        </w:rPr>
        <w:t>2025</w:t>
      </w:r>
      <w:r>
        <w:rPr>
          <w:rFonts w:hint="eastAsia" w:ascii="方正小标宋简体" w:hAnsi="方正小标宋简体" w:eastAsia="方正小标宋简体" w:cs="方正小标宋简体"/>
          <w:b w:val="0"/>
          <w:bCs/>
          <w:sz w:val="44"/>
          <w:szCs w:val="44"/>
        </w:rPr>
        <w:t>年湖南省职业教育与成人教育</w:t>
      </w:r>
    </w:p>
    <w:p w14:paraId="0E27B297">
      <w:pPr>
        <w:keepNext w:val="0"/>
        <w:keepLines w:val="0"/>
        <w:pageBreakBefore w:val="0"/>
        <w:widowControl w:val="0"/>
        <w:kinsoku/>
        <w:wordWrap/>
        <w:overflowPunct/>
        <w:topLinePunct w:val="0"/>
        <w:bidi w:val="0"/>
        <w:adjustRightInd/>
        <w:spacing w:line="5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优秀论文评选活动的通知</w:t>
      </w:r>
    </w:p>
    <w:p w14:paraId="1411F93C">
      <w:pPr>
        <w:keepNext w:val="0"/>
        <w:keepLines w:val="0"/>
        <w:pageBreakBefore w:val="0"/>
        <w:widowControl w:val="0"/>
        <w:kinsoku/>
        <w:wordWrap/>
        <w:overflowPunct/>
        <w:topLinePunct w:val="0"/>
        <w:autoSpaceDE/>
        <w:autoSpaceDN/>
        <w:bidi w:val="0"/>
        <w:adjustRightInd w:val="0"/>
        <w:snapToGrid/>
        <w:spacing w:line="500" w:lineRule="exact"/>
        <w:textAlignment w:val="auto"/>
        <w:rPr>
          <w:rFonts w:hint="eastAsia" w:ascii="仿宋" w:hAnsi="仿宋" w:eastAsia="仿宋" w:cs="仿宋"/>
          <w:color w:val="000000"/>
          <w:kern w:val="0"/>
          <w:sz w:val="32"/>
          <w:szCs w:val="32"/>
          <w:lang w:val="en-US" w:eastAsia="zh-CN"/>
        </w:rPr>
      </w:pPr>
    </w:p>
    <w:p w14:paraId="6563C160">
      <w:pPr>
        <w:keepNext w:val="0"/>
        <w:keepLines w:val="0"/>
        <w:pageBreakBefore w:val="0"/>
        <w:widowControl w:val="0"/>
        <w:kinsoku/>
        <w:wordWrap/>
        <w:overflowPunct/>
        <w:topLinePunct w:val="0"/>
        <w:autoSpaceDE/>
        <w:autoSpaceDN/>
        <w:bidi w:val="0"/>
        <w:adjustRightInd w:val="0"/>
        <w:snapToGrid/>
        <w:spacing w:line="500" w:lineRule="exac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各单位会员、分支机构，各有关单位：</w:t>
      </w:r>
    </w:p>
    <w:p w14:paraId="1B265507">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经湖南省职业教育与成人教育学会研究决定，于2025年10月启动学会2025年度优秀论文评选工作，现将有关事宜通知如下：</w:t>
      </w:r>
    </w:p>
    <w:p w14:paraId="7E08A84D">
      <w:pPr>
        <w:pStyle w:val="2"/>
        <w:keepNext/>
        <w:keepLines/>
        <w:pageBreakBefore w:val="0"/>
        <w:widowControl w:val="0"/>
        <w:kinsoku/>
        <w:wordWrap/>
        <w:overflowPunct/>
        <w:topLinePunct w:val="0"/>
        <w:autoSpaceDE/>
        <w:autoSpaceDN/>
        <w:bidi w:val="0"/>
        <w:adjustRightInd w:val="0"/>
        <w:snapToGrid w:val="0"/>
        <w:spacing w:before="0" w:after="0" w:line="500" w:lineRule="exact"/>
        <w:ind w:firstLine="640" w:firstLineChars="200"/>
        <w:textAlignment w:val="auto"/>
        <w:rPr>
          <w:rFonts w:hint="default" w:ascii="仿宋_GB2312" w:hAnsi="仿宋_GB2312" w:eastAsia="仿宋_GB2312" w:cs="仿宋_GB2312"/>
          <w:b w:val="0"/>
          <w:w w:val="100"/>
          <w:kern w:val="2"/>
          <w:sz w:val="32"/>
          <w:szCs w:val="32"/>
          <w:lang w:val="en-US" w:eastAsia="zh-CN" w:bidi="ar-SA"/>
        </w:rPr>
      </w:pPr>
      <w:r>
        <w:rPr>
          <w:rFonts w:hint="eastAsia" w:ascii="仿宋_GB2312" w:hAnsi="仿宋_GB2312" w:eastAsia="仿宋_GB2312" w:cs="仿宋_GB2312"/>
          <w:b w:val="0"/>
          <w:w w:val="100"/>
          <w:kern w:val="2"/>
          <w:sz w:val="32"/>
          <w:szCs w:val="32"/>
          <w:lang w:val="en-US" w:eastAsia="zh-CN" w:bidi="ar-SA"/>
        </w:rPr>
        <w:t>一、参评对象</w:t>
      </w:r>
    </w:p>
    <w:p w14:paraId="3F2F29F1">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color w:val="000000"/>
          <w:kern w:val="0"/>
          <w:sz w:val="32"/>
          <w:szCs w:val="32"/>
          <w:lang w:eastAsia="zh-CN"/>
        </w:rPr>
      </w:pPr>
      <w:r>
        <w:rPr>
          <w:rFonts w:hint="eastAsia" w:ascii="仿宋" w:hAnsi="仿宋" w:eastAsia="仿宋" w:cs="仿宋"/>
          <w:kern w:val="32"/>
          <w:sz w:val="32"/>
          <w:szCs w:val="32"/>
          <w:lang w:val="en-US" w:eastAsia="zh-CN"/>
        </w:rPr>
        <w:t>本会单位会员、分支机构及全省各级各类职业院校、独立设置的成人高校、各级教育行政部门、科研院所的教师、管理人员及科</w:t>
      </w:r>
      <w:r>
        <w:rPr>
          <w:rFonts w:hint="eastAsia" w:ascii="仿宋" w:hAnsi="仿宋" w:eastAsia="仿宋" w:cs="仿宋"/>
          <w:kern w:val="32"/>
          <w:sz w:val="32"/>
          <w:szCs w:val="32"/>
        </w:rPr>
        <w:t>研工作者，行业企业、社会各界的技术人员以及热心职业教育与成人教育研究的相关人员</w:t>
      </w:r>
      <w:r>
        <w:rPr>
          <w:rFonts w:hint="eastAsia" w:ascii="仿宋" w:hAnsi="仿宋" w:eastAsia="仿宋" w:cs="仿宋"/>
          <w:kern w:val="32"/>
          <w:sz w:val="32"/>
          <w:szCs w:val="32"/>
          <w:lang w:val="en-US" w:eastAsia="zh-CN"/>
        </w:rPr>
        <w:t>撰写的职业教育与成人教育研究文章或当年公开发表的论文均可参评</w:t>
      </w:r>
      <w:r>
        <w:rPr>
          <w:rFonts w:hint="eastAsia" w:ascii="仿宋" w:hAnsi="仿宋" w:eastAsia="仿宋" w:cs="仿宋"/>
          <w:color w:val="000000"/>
          <w:kern w:val="0"/>
          <w:sz w:val="32"/>
          <w:szCs w:val="32"/>
          <w:lang w:eastAsia="zh-CN"/>
        </w:rPr>
        <w:t>。</w:t>
      </w:r>
    </w:p>
    <w:p w14:paraId="0939081B">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32"/>
          <w:sz w:val="32"/>
          <w:szCs w:val="32"/>
        </w:rPr>
      </w:pPr>
      <w:r>
        <w:rPr>
          <w:rFonts w:hint="eastAsia" w:ascii="仿宋" w:hAnsi="仿宋" w:eastAsia="仿宋" w:cs="仿宋"/>
          <w:kern w:val="32"/>
          <w:sz w:val="32"/>
          <w:szCs w:val="32"/>
        </w:rPr>
        <w:t>二、</w:t>
      </w:r>
      <w:r>
        <w:rPr>
          <w:rFonts w:hint="eastAsia" w:ascii="仿宋" w:hAnsi="仿宋" w:eastAsia="仿宋" w:cs="仿宋"/>
          <w:kern w:val="32"/>
          <w:sz w:val="32"/>
          <w:szCs w:val="32"/>
          <w:lang w:eastAsia="zh-CN"/>
        </w:rPr>
        <w:t>参考选题及有关</w:t>
      </w:r>
      <w:r>
        <w:rPr>
          <w:rFonts w:hint="eastAsia" w:ascii="仿宋" w:hAnsi="仿宋" w:eastAsia="仿宋" w:cs="仿宋"/>
          <w:kern w:val="32"/>
          <w:sz w:val="32"/>
          <w:szCs w:val="32"/>
        </w:rPr>
        <w:t>要求</w:t>
      </w:r>
    </w:p>
    <w:p w14:paraId="4FFDA014">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32"/>
          <w:sz w:val="32"/>
          <w:szCs w:val="32"/>
          <w:lang w:val="en-US" w:eastAsia="zh-CN"/>
        </w:rPr>
      </w:pPr>
      <w:r>
        <w:rPr>
          <w:rFonts w:hint="eastAsia" w:ascii="仿宋" w:hAnsi="仿宋" w:eastAsia="仿宋" w:cs="仿宋"/>
          <w:kern w:val="32"/>
          <w:sz w:val="32"/>
          <w:szCs w:val="32"/>
          <w:highlight w:val="none"/>
          <w:lang w:val="en-US" w:eastAsia="zh-CN"/>
        </w:rPr>
        <w:t>1.</w:t>
      </w:r>
      <w:r>
        <w:rPr>
          <w:rFonts w:hint="eastAsia" w:ascii="仿宋" w:hAnsi="仿宋" w:eastAsia="仿宋" w:cs="仿宋"/>
          <w:kern w:val="32"/>
          <w:sz w:val="32"/>
          <w:szCs w:val="32"/>
          <w:highlight w:val="none"/>
        </w:rPr>
        <w:t>论文</w:t>
      </w:r>
      <w:r>
        <w:rPr>
          <w:rFonts w:hint="eastAsia" w:ascii="仿宋" w:hAnsi="仿宋" w:eastAsia="仿宋" w:cs="仿宋"/>
          <w:kern w:val="32"/>
          <w:sz w:val="32"/>
          <w:szCs w:val="32"/>
          <w:highlight w:val="none"/>
          <w:lang w:eastAsia="zh-CN"/>
        </w:rPr>
        <w:t>选题</w:t>
      </w:r>
      <w:r>
        <w:rPr>
          <w:rFonts w:hint="eastAsia" w:ascii="仿宋" w:hAnsi="仿宋" w:eastAsia="仿宋" w:cs="仿宋"/>
          <w:kern w:val="32"/>
          <w:sz w:val="32"/>
          <w:szCs w:val="32"/>
          <w:highlight w:val="none"/>
        </w:rPr>
        <w:t>应</w:t>
      </w:r>
      <w:r>
        <w:rPr>
          <w:rFonts w:hint="eastAsia" w:ascii="仿宋" w:hAnsi="仿宋" w:eastAsia="仿宋" w:cs="仿宋"/>
          <w:kern w:val="32"/>
          <w:sz w:val="32"/>
          <w:szCs w:val="32"/>
          <w:highlight w:val="none"/>
          <w:lang w:eastAsia="zh-CN"/>
        </w:rPr>
        <w:t>重点</w:t>
      </w:r>
      <w:r>
        <w:rPr>
          <w:rFonts w:hint="eastAsia" w:ascii="仿宋" w:hAnsi="仿宋" w:eastAsia="仿宋" w:cs="仿宋"/>
          <w:kern w:val="32"/>
          <w:sz w:val="32"/>
          <w:szCs w:val="32"/>
          <w:highlight w:val="none"/>
          <w:lang w:val="en-US" w:eastAsia="zh-CN"/>
        </w:rPr>
        <w:t>关注职业教育与成人教育发展中热点、难点、前沿问题和各类现实问题，</w:t>
      </w:r>
      <w:r>
        <w:rPr>
          <w:rFonts w:hint="eastAsia" w:ascii="仿宋" w:hAnsi="仿宋" w:eastAsia="仿宋" w:cs="仿宋"/>
          <w:color w:val="000000"/>
          <w:kern w:val="32"/>
          <w:sz w:val="32"/>
          <w:szCs w:val="32"/>
          <w:highlight w:val="none"/>
        </w:rPr>
        <w:t>进</w:t>
      </w:r>
      <w:r>
        <w:rPr>
          <w:rFonts w:hint="eastAsia" w:ascii="仿宋" w:hAnsi="仿宋" w:eastAsia="仿宋" w:cs="仿宋"/>
          <w:color w:val="000000"/>
          <w:kern w:val="32"/>
          <w:sz w:val="32"/>
          <w:szCs w:val="32"/>
        </w:rPr>
        <w:t>行深入研究，</w:t>
      </w:r>
      <w:r>
        <w:rPr>
          <w:rFonts w:hint="eastAsia" w:ascii="仿宋" w:hAnsi="仿宋" w:eastAsia="仿宋" w:cs="仿宋"/>
          <w:kern w:val="32"/>
          <w:sz w:val="32"/>
          <w:szCs w:val="32"/>
        </w:rPr>
        <w:t>提出新见解、新思路和新举措。论文力求主题明确、重点突出、论点清晰、论据充分，有较强的说服力，有一定的借鉴或推广价值。</w:t>
      </w:r>
    </w:p>
    <w:p w14:paraId="03709DDD">
      <w:pPr>
        <w:keepNext w:val="0"/>
        <w:keepLines w:val="0"/>
        <w:pageBreakBefore w:val="0"/>
        <w:widowControl w:val="0"/>
        <w:kinsoku/>
        <w:wordWrap/>
        <w:overflowPunct/>
        <w:topLinePunct w:val="0"/>
        <w:autoSpaceDE/>
        <w:autoSpaceDN/>
        <w:bidi w:val="0"/>
        <w:adjustRightInd w:val="0"/>
        <w:snapToGrid/>
        <w:spacing w:line="500" w:lineRule="exact"/>
        <w:ind w:firstLine="616" w:firstLineChars="200"/>
        <w:textAlignment w:val="auto"/>
        <w:rPr>
          <w:rFonts w:hint="eastAsia" w:ascii="仿宋" w:hAnsi="仿宋" w:eastAsia="仿宋" w:cs="仿宋"/>
          <w:spacing w:val="-6"/>
          <w:sz w:val="32"/>
          <w:szCs w:val="32"/>
          <w:lang w:val="en-US" w:eastAsia="zh-CN"/>
        </w:rPr>
      </w:pPr>
      <w:r>
        <w:rPr>
          <w:rFonts w:hint="eastAsia" w:ascii="仿宋" w:hAnsi="仿宋" w:eastAsia="仿宋" w:cs="仿宋"/>
          <w:spacing w:val="-6"/>
          <w:sz w:val="32"/>
          <w:szCs w:val="32"/>
          <w:lang w:val="en-US" w:eastAsia="zh-CN"/>
        </w:rPr>
        <w:t>2.参评论文必须是作者独立完成的或作为第一作者合著完成的（合著论文作者限5名，含第一作者）、有自主知识产权的职业教育与成人教育研究论文，</w:t>
      </w:r>
      <w:r>
        <w:rPr>
          <w:rFonts w:hint="eastAsia" w:ascii="仿宋" w:hAnsi="仿宋" w:eastAsia="仿宋" w:cs="仿宋"/>
          <w:b/>
          <w:bCs/>
          <w:spacing w:val="-6"/>
          <w:sz w:val="32"/>
          <w:szCs w:val="32"/>
          <w:lang w:val="en-US" w:eastAsia="zh-CN"/>
        </w:rPr>
        <w:t>每人每年限报1篇。</w:t>
      </w:r>
      <w:r>
        <w:rPr>
          <w:rFonts w:hint="eastAsia" w:ascii="仿宋" w:hAnsi="仿宋" w:eastAsia="仿宋" w:cs="仿宋"/>
          <w:spacing w:val="-6"/>
          <w:sz w:val="32"/>
          <w:szCs w:val="32"/>
          <w:lang w:val="en-US" w:eastAsia="zh-CN"/>
        </w:rPr>
        <w:t>参评论文要求真实原创，未公开发表的论文需提供正规查重机构出具的全文或简洁报告单，公开发表的论文需提供正规平台可查的证明材料。研究专业技术的科技论文、工作总结和解题指导等文章不能参评；已经获得省级其他奖励或参评其他学会协会的文章不再参评。</w:t>
      </w:r>
    </w:p>
    <w:p w14:paraId="5B0DE9AD">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spacing w:val="-6"/>
          <w:sz w:val="32"/>
          <w:szCs w:val="32"/>
          <w:lang w:val="en-US" w:eastAsia="zh-CN"/>
        </w:rPr>
      </w:pPr>
      <w:r>
        <w:rPr>
          <w:rFonts w:hint="eastAsia" w:ascii="仿宋" w:hAnsi="仿宋" w:eastAsia="仿宋" w:cs="仿宋"/>
          <w:kern w:val="0"/>
          <w:sz w:val="32"/>
          <w:szCs w:val="32"/>
        </w:rPr>
        <w:t>3.参评论文应结构完整，格式符合规范。在正文之外，应有内</w:t>
      </w:r>
      <w:r>
        <w:rPr>
          <w:rFonts w:hint="eastAsia" w:ascii="仿宋" w:hAnsi="仿宋" w:eastAsia="仿宋" w:cs="仿宋"/>
          <w:spacing w:val="-6"/>
          <w:sz w:val="32"/>
          <w:szCs w:val="32"/>
          <w:lang w:val="en-US" w:eastAsia="zh-CN"/>
        </w:rPr>
        <w:t>容摘要、关键词和参考文献。每篇论文字数控制在 3000-5000字，最多不超过6000字，已发表论文不受限制。</w:t>
      </w:r>
    </w:p>
    <w:p w14:paraId="1E35D237">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32"/>
          <w:sz w:val="32"/>
          <w:szCs w:val="32"/>
        </w:rPr>
      </w:pPr>
      <w:r>
        <w:rPr>
          <w:rFonts w:hint="eastAsia" w:ascii="仿宋" w:hAnsi="仿宋" w:eastAsia="仿宋" w:cs="仿宋"/>
          <w:kern w:val="32"/>
          <w:sz w:val="32"/>
          <w:szCs w:val="32"/>
        </w:rPr>
        <w:t>三、申报</w:t>
      </w:r>
    </w:p>
    <w:p w14:paraId="4DC32C9E">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616" w:firstLineChars="200"/>
        <w:jc w:val="both"/>
        <w:textAlignment w:val="auto"/>
        <w:rPr>
          <w:rFonts w:hint="eastAsia" w:ascii="仿宋" w:hAnsi="仿宋" w:eastAsia="仿宋" w:cs="仿宋"/>
          <w:spacing w:val="-6"/>
          <w:sz w:val="32"/>
          <w:szCs w:val="32"/>
          <w:lang w:val="en-US" w:eastAsia="zh-CN"/>
        </w:rPr>
      </w:pPr>
      <w:r>
        <w:rPr>
          <w:rFonts w:hint="eastAsia" w:ascii="仿宋" w:hAnsi="仿宋" w:eastAsia="仿宋" w:cs="仿宋"/>
          <w:spacing w:val="-6"/>
          <w:sz w:val="32"/>
          <w:szCs w:val="32"/>
          <w:lang w:val="en-US" w:eastAsia="zh-CN"/>
        </w:rPr>
        <w:t>1.本会论文评选采取限额参评。副会长单位参评的论文数量不超过15篇，常务理事单位不超过10篇，理事单位不超过7篇，分支机构不超过10篇，其他单位不超过3篇，不可重复多头报送。</w:t>
      </w:r>
    </w:p>
    <w:p w14:paraId="7F6D06B8">
      <w:pPr>
        <w:keepNext w:val="0"/>
        <w:keepLines w:val="0"/>
        <w:pageBreakBefore w:val="0"/>
        <w:widowControl w:val="0"/>
        <w:kinsoku/>
        <w:wordWrap/>
        <w:overflowPunct/>
        <w:topLinePunct w:val="0"/>
        <w:autoSpaceDE/>
        <w:autoSpaceDN/>
        <w:bidi w:val="0"/>
        <w:adjustRightInd w:val="0"/>
        <w:snapToGrid/>
        <w:spacing w:line="500" w:lineRule="exact"/>
        <w:ind w:firstLine="616" w:firstLineChars="200"/>
        <w:textAlignment w:val="auto"/>
        <w:rPr>
          <w:rFonts w:hint="eastAsia" w:ascii="仿宋" w:hAnsi="仿宋" w:eastAsia="仿宋" w:cs="仿宋"/>
          <w:spacing w:val="-6"/>
          <w:sz w:val="32"/>
          <w:szCs w:val="32"/>
          <w:lang w:val="en-US" w:eastAsia="zh-CN"/>
        </w:rPr>
      </w:pPr>
      <w:r>
        <w:rPr>
          <w:rFonts w:hint="eastAsia" w:ascii="仿宋" w:hAnsi="仿宋" w:eastAsia="仿宋" w:cs="仿宋"/>
          <w:spacing w:val="-6"/>
          <w:sz w:val="32"/>
          <w:szCs w:val="32"/>
          <w:lang w:val="en-US" w:eastAsia="zh-CN"/>
        </w:rPr>
        <w:t>2.参评论文实行分级分类申报。所有参评论文以本会单位会员、分支机构及全省各级各类职业院校、独立设置的成人高校、各级教育行政部门、科研院所统一报送，经单位初评后进行推荐申报。本会不受理个人单独申报。</w:t>
      </w:r>
    </w:p>
    <w:p w14:paraId="3377ABA1">
      <w:pPr>
        <w:keepNext w:val="0"/>
        <w:keepLines w:val="0"/>
        <w:pageBreakBefore w:val="0"/>
        <w:widowControl w:val="0"/>
        <w:kinsoku/>
        <w:wordWrap/>
        <w:overflowPunct/>
        <w:topLinePunct w:val="0"/>
        <w:autoSpaceDE/>
        <w:autoSpaceDN/>
        <w:bidi w:val="0"/>
        <w:adjustRightInd w:val="0"/>
        <w:snapToGrid/>
        <w:spacing w:line="500" w:lineRule="exact"/>
        <w:ind w:firstLine="616" w:firstLineChars="200"/>
        <w:textAlignment w:val="auto"/>
        <w:rPr>
          <w:rFonts w:hint="eastAsia" w:ascii="仿宋" w:hAnsi="仿宋" w:eastAsia="仿宋" w:cs="仿宋"/>
          <w:kern w:val="32"/>
          <w:sz w:val="32"/>
          <w:szCs w:val="32"/>
        </w:rPr>
      </w:pPr>
      <w:r>
        <w:rPr>
          <w:rFonts w:hint="eastAsia" w:ascii="仿宋" w:hAnsi="仿宋" w:eastAsia="仿宋" w:cs="仿宋"/>
          <w:spacing w:val="-6"/>
          <w:sz w:val="32"/>
          <w:szCs w:val="32"/>
          <w:lang w:val="en-US" w:eastAsia="zh-CN"/>
        </w:rPr>
        <w:t>3.</w:t>
      </w:r>
      <w:r>
        <w:rPr>
          <w:rFonts w:hint="eastAsia" w:ascii="仿宋" w:hAnsi="仿宋" w:eastAsia="仿宋" w:cs="仿宋"/>
          <w:kern w:val="32"/>
          <w:sz w:val="32"/>
          <w:szCs w:val="32"/>
          <w:lang w:val="en-US" w:eastAsia="zh-CN"/>
        </w:rPr>
        <w:t>所有参评</w:t>
      </w:r>
      <w:r>
        <w:rPr>
          <w:rFonts w:hint="eastAsia" w:ascii="仿宋" w:hAnsi="仿宋" w:eastAsia="仿宋" w:cs="仿宋"/>
          <w:kern w:val="0"/>
          <w:sz w:val="32"/>
          <w:szCs w:val="32"/>
        </w:rPr>
        <w:t>论文</w:t>
      </w:r>
      <w:r>
        <w:rPr>
          <w:rFonts w:hint="eastAsia" w:ascii="仿宋" w:hAnsi="仿宋" w:eastAsia="仿宋" w:cs="仿宋"/>
          <w:kern w:val="0"/>
          <w:sz w:val="32"/>
          <w:szCs w:val="32"/>
          <w:lang w:val="en-US" w:eastAsia="zh-CN"/>
        </w:rPr>
        <w:t>须通过学会科研管理系统报送</w:t>
      </w:r>
      <w:r>
        <w:rPr>
          <w:rFonts w:hint="eastAsia" w:ascii="仿宋" w:hAnsi="仿宋" w:eastAsia="仿宋" w:cs="仿宋"/>
          <w:kern w:val="0"/>
          <w:sz w:val="32"/>
          <w:szCs w:val="32"/>
        </w:rPr>
        <w:t>相应的电子文档，</w:t>
      </w:r>
      <w:r>
        <w:rPr>
          <w:rFonts w:hint="eastAsia" w:ascii="仿宋" w:hAnsi="仿宋" w:eastAsia="仿宋" w:cs="仿宋"/>
          <w:kern w:val="32"/>
          <w:sz w:val="32"/>
          <w:szCs w:val="32"/>
          <w:lang w:val="en-US" w:eastAsia="zh-CN"/>
        </w:rPr>
        <w:t>参评论文</w:t>
      </w:r>
      <w:r>
        <w:rPr>
          <w:rFonts w:hint="eastAsia" w:ascii="仿宋" w:hAnsi="仿宋" w:eastAsia="仿宋" w:cs="仿宋"/>
          <w:kern w:val="0"/>
          <w:sz w:val="32"/>
          <w:szCs w:val="32"/>
          <w:lang w:val="en-US" w:eastAsia="zh-CN"/>
        </w:rPr>
        <w:t>均</w:t>
      </w:r>
      <w:r>
        <w:rPr>
          <w:rFonts w:hint="eastAsia" w:ascii="仿宋" w:hAnsi="仿宋" w:eastAsia="仿宋" w:cs="仿宋"/>
          <w:kern w:val="32"/>
          <w:sz w:val="32"/>
          <w:szCs w:val="32"/>
        </w:rPr>
        <w:t>不得出现作者姓名及单位名称</w:t>
      </w:r>
      <w:r>
        <w:rPr>
          <w:rFonts w:hint="eastAsia" w:ascii="仿宋" w:hAnsi="仿宋" w:eastAsia="仿宋" w:cs="仿宋"/>
          <w:b/>
          <w:bCs/>
          <w:color w:val="000000" w:themeColor="text1"/>
          <w:kern w:val="32"/>
          <w:sz w:val="32"/>
          <w:szCs w:val="32"/>
          <w:lang w:val="en-US" w:eastAsia="zh-CN"/>
          <w14:textFill>
            <w14:solidFill>
              <w14:schemeClr w14:val="tx1"/>
            </w14:solidFill>
          </w14:textFill>
        </w:rPr>
        <w:t>。已发表的论文封面、目录及正文扫描成一个文档以pdf形式上传，另外还需上传一份匿名的word文档，</w:t>
      </w:r>
      <w:r>
        <w:rPr>
          <w:rFonts w:hint="eastAsia" w:ascii="仿宋" w:hAnsi="仿宋" w:eastAsia="仿宋" w:cs="仿宋"/>
          <w:kern w:val="32"/>
          <w:sz w:val="32"/>
          <w:szCs w:val="32"/>
        </w:rPr>
        <w:t>本年度参评论文须是20</w:t>
      </w:r>
      <w:r>
        <w:rPr>
          <w:rFonts w:hint="eastAsia" w:ascii="仿宋" w:hAnsi="仿宋" w:eastAsia="仿宋" w:cs="仿宋"/>
          <w:kern w:val="32"/>
          <w:sz w:val="32"/>
          <w:szCs w:val="32"/>
          <w:lang w:val="en-US" w:eastAsia="zh-CN"/>
        </w:rPr>
        <w:t>25</w:t>
      </w:r>
      <w:r>
        <w:rPr>
          <w:rFonts w:hint="eastAsia" w:ascii="仿宋" w:hAnsi="仿宋" w:eastAsia="仿宋" w:cs="仿宋"/>
          <w:kern w:val="32"/>
          <w:sz w:val="32"/>
          <w:szCs w:val="32"/>
        </w:rPr>
        <w:t>年1月以后发表的。</w:t>
      </w:r>
    </w:p>
    <w:p w14:paraId="2DFCD4ED">
      <w:pPr>
        <w:keepNext w:val="0"/>
        <w:keepLines w:val="0"/>
        <w:pageBreakBefore w:val="0"/>
        <w:widowControl w:val="0"/>
        <w:kinsoku/>
        <w:wordWrap/>
        <w:overflowPunct/>
        <w:topLinePunct w:val="0"/>
        <w:bidi w:val="0"/>
        <w:adjustRightInd w:val="0"/>
        <w:snapToGrid/>
        <w:spacing w:line="500" w:lineRule="exact"/>
        <w:ind w:firstLine="640" w:firstLineChars="200"/>
        <w:jc w:val="both"/>
        <w:textAlignment w:val="auto"/>
        <w:rPr>
          <w:rFonts w:hint="eastAsia" w:ascii="仿宋" w:hAnsi="仿宋" w:eastAsia="仿宋" w:cs="仿宋"/>
          <w:kern w:val="32"/>
          <w:sz w:val="32"/>
          <w:szCs w:val="32"/>
          <w:lang w:val="en-US" w:eastAsia="zh-CN"/>
        </w:rPr>
      </w:pPr>
      <w:r>
        <w:rPr>
          <w:rFonts w:hint="eastAsia" w:ascii="仿宋" w:hAnsi="仿宋" w:eastAsia="仿宋" w:cs="仿宋"/>
          <w:kern w:val="32"/>
          <w:sz w:val="32"/>
          <w:szCs w:val="32"/>
        </w:rPr>
        <w:t>4.</w:t>
      </w:r>
      <w:r>
        <w:rPr>
          <w:rFonts w:hint="eastAsia" w:ascii="仿宋" w:hAnsi="仿宋" w:eastAsia="仿宋" w:cs="仿宋"/>
          <w:kern w:val="32"/>
          <w:sz w:val="32"/>
          <w:szCs w:val="32"/>
          <w:lang w:val="en-US" w:eastAsia="zh-CN"/>
        </w:rPr>
        <w:t>本次优秀论文评选通过学会科研管理系统进行，所有参评单位需指定一名管理员负责管理本单位参评论文</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论文作者</w:t>
      </w:r>
      <w:r>
        <w:rPr>
          <w:rFonts w:hint="eastAsia" w:ascii="仿宋" w:hAnsi="仿宋" w:eastAsia="仿宋" w:cs="仿宋"/>
          <w:sz w:val="32"/>
          <w:szCs w:val="32"/>
          <w:lang w:val="en-US"/>
        </w:rPr>
        <w:t>操作手册见附件5、单位管理员操作手册见附件6）</w:t>
      </w:r>
      <w:r>
        <w:rPr>
          <w:rFonts w:hint="eastAsia" w:ascii="仿宋" w:hAnsi="仿宋" w:eastAsia="仿宋" w:cs="仿宋"/>
          <w:kern w:val="32"/>
          <w:sz w:val="32"/>
          <w:szCs w:val="32"/>
          <w:lang w:val="en-US" w:eastAsia="zh-CN"/>
        </w:rPr>
        <w:t>，</w:t>
      </w:r>
      <w:r>
        <w:rPr>
          <w:rFonts w:hint="eastAsia" w:ascii="仿宋" w:hAnsi="仿宋" w:eastAsia="仿宋" w:cs="仿宋"/>
          <w:sz w:val="32"/>
          <w:szCs w:val="32"/>
          <w:lang w:val="en-US"/>
        </w:rPr>
        <w:t>并于202</w:t>
      </w:r>
      <w:r>
        <w:rPr>
          <w:rFonts w:hint="eastAsia" w:ascii="仿宋" w:hAnsi="仿宋" w:eastAsia="仿宋" w:cs="仿宋"/>
          <w:sz w:val="32"/>
          <w:szCs w:val="32"/>
          <w:lang w:val="en-US" w:eastAsia="zh-CN"/>
        </w:rPr>
        <w:t>5</w:t>
      </w:r>
      <w:r>
        <w:rPr>
          <w:rFonts w:hint="eastAsia" w:ascii="仿宋" w:hAnsi="仿宋" w:eastAsia="仿宋" w:cs="仿宋"/>
          <w:sz w:val="32"/>
          <w:szCs w:val="32"/>
          <w:lang w:val="en-US"/>
        </w:rPr>
        <w:t>年</w:t>
      </w:r>
      <w:r>
        <w:rPr>
          <w:rFonts w:hint="eastAsia" w:ascii="仿宋" w:hAnsi="仿宋" w:eastAsia="仿宋" w:cs="仿宋"/>
          <w:sz w:val="32"/>
          <w:szCs w:val="32"/>
          <w:lang w:val="en-US" w:eastAsia="zh-CN"/>
        </w:rPr>
        <w:t>11</w:t>
      </w:r>
      <w:r>
        <w:rPr>
          <w:rFonts w:hint="eastAsia" w:ascii="仿宋" w:hAnsi="仿宋" w:eastAsia="仿宋" w:cs="仿宋"/>
          <w:sz w:val="32"/>
          <w:szCs w:val="32"/>
          <w:lang w:val="en-US"/>
        </w:rPr>
        <w:t>月</w:t>
      </w:r>
      <w:r>
        <w:rPr>
          <w:rFonts w:hint="eastAsia" w:ascii="仿宋" w:hAnsi="仿宋" w:eastAsia="仿宋" w:cs="仿宋"/>
          <w:sz w:val="32"/>
          <w:szCs w:val="32"/>
          <w:lang w:val="en-US" w:eastAsia="zh-CN"/>
        </w:rPr>
        <w:t>20</w:t>
      </w:r>
      <w:r>
        <w:rPr>
          <w:rFonts w:hint="eastAsia" w:ascii="仿宋" w:hAnsi="仿宋" w:eastAsia="仿宋" w:cs="仿宋"/>
          <w:sz w:val="32"/>
          <w:szCs w:val="32"/>
          <w:lang w:val="en-US"/>
        </w:rPr>
        <w:t>前将管理员信息表（见附件4）提交到学会邮箱</w:t>
      </w:r>
      <w:r>
        <w:rPr>
          <w:rFonts w:hint="eastAsia" w:ascii="仿宋" w:hAnsi="仿宋" w:eastAsia="仿宋" w:cs="仿宋"/>
          <w:sz w:val="32"/>
          <w:szCs w:val="32"/>
          <w:lang w:val="en-US" w:eastAsia="zh-CN"/>
        </w:rPr>
        <w:t>。管理员请加入学会科研工作管理员群。</w:t>
      </w:r>
      <w:r>
        <w:rPr>
          <w:rFonts w:hint="eastAsia" w:ascii="仿宋" w:hAnsi="仿宋" w:eastAsia="仿宋" w:cs="仿宋"/>
          <w:b/>
          <w:bCs/>
          <w:sz w:val="32"/>
          <w:szCs w:val="32"/>
          <w:lang w:val="en-US" w:eastAsia="zh-CN"/>
        </w:rPr>
        <w:t>已经报送管理员的单位无需重复报送。</w:t>
      </w:r>
    </w:p>
    <w:p w14:paraId="16D9CA67">
      <w:pPr>
        <w:keepNext w:val="0"/>
        <w:keepLines w:val="0"/>
        <w:pageBreakBefore w:val="0"/>
        <w:widowControl w:val="0"/>
        <w:kinsoku/>
        <w:wordWrap/>
        <w:overflowPunct/>
        <w:topLinePunct w:val="0"/>
        <w:bidi w:val="0"/>
        <w:adjustRightInd w:val="0"/>
        <w:snapToGrid/>
        <w:spacing w:line="50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kern w:val="32"/>
          <w:sz w:val="32"/>
          <w:szCs w:val="32"/>
          <w:lang w:val="en-US" w:eastAsia="zh-CN"/>
        </w:rPr>
        <w:t>5.单位集中完成初评之后，由各</w:t>
      </w:r>
      <w:r>
        <w:rPr>
          <w:rFonts w:hint="eastAsia" w:ascii="仿宋" w:hAnsi="仿宋" w:eastAsia="仿宋" w:cs="仿宋"/>
          <w:sz w:val="32"/>
          <w:szCs w:val="32"/>
          <w:lang w:val="en-US"/>
        </w:rPr>
        <w:t>单位管理员将</w:t>
      </w:r>
      <w:r>
        <w:rPr>
          <w:rFonts w:hint="eastAsia" w:ascii="仿宋" w:hAnsi="仿宋" w:eastAsia="仿宋" w:cs="仿宋"/>
          <w:sz w:val="32"/>
          <w:szCs w:val="32"/>
          <w:lang w:val="en-US" w:eastAsia="zh-CN"/>
        </w:rPr>
        <w:t>论文作者</w:t>
      </w:r>
      <w:r>
        <w:rPr>
          <w:rFonts w:hint="eastAsia" w:ascii="仿宋" w:hAnsi="仿宋" w:eastAsia="仿宋" w:cs="仿宋"/>
          <w:sz w:val="32"/>
          <w:szCs w:val="32"/>
          <w:lang w:val="en-US"/>
        </w:rPr>
        <w:t>基本信息导入</w:t>
      </w:r>
      <w:r>
        <w:rPr>
          <w:rFonts w:hint="eastAsia" w:ascii="仿宋" w:hAnsi="仿宋" w:eastAsia="仿宋" w:cs="仿宋"/>
          <w:sz w:val="32"/>
          <w:szCs w:val="32"/>
          <w:lang w:val="en-US" w:eastAsia="zh-CN"/>
        </w:rPr>
        <w:t>学会科研</w:t>
      </w:r>
      <w:r>
        <w:rPr>
          <w:rFonts w:hint="eastAsia" w:ascii="仿宋" w:hAnsi="仿宋" w:eastAsia="仿宋" w:cs="仿宋"/>
          <w:sz w:val="32"/>
          <w:szCs w:val="32"/>
          <w:lang w:val="en-US"/>
        </w:rPr>
        <w:t>管理系统生成</w:t>
      </w:r>
      <w:r>
        <w:rPr>
          <w:rFonts w:hint="eastAsia" w:ascii="仿宋" w:hAnsi="仿宋" w:eastAsia="仿宋" w:cs="仿宋"/>
          <w:sz w:val="32"/>
          <w:szCs w:val="32"/>
          <w:lang w:val="en-US" w:eastAsia="zh-CN"/>
        </w:rPr>
        <w:t>论文作者</w:t>
      </w:r>
      <w:r>
        <w:rPr>
          <w:rFonts w:hint="eastAsia" w:ascii="仿宋" w:hAnsi="仿宋" w:eastAsia="仿宋" w:cs="仿宋"/>
          <w:sz w:val="32"/>
          <w:szCs w:val="32"/>
          <w:lang w:val="en-US"/>
        </w:rPr>
        <w:t>的</w:t>
      </w:r>
      <w:r>
        <w:rPr>
          <w:rFonts w:hint="eastAsia" w:ascii="仿宋" w:hAnsi="仿宋" w:eastAsia="仿宋" w:cs="仿宋"/>
          <w:sz w:val="32"/>
          <w:szCs w:val="32"/>
          <w:lang w:val="en-US" w:eastAsia="zh-CN"/>
        </w:rPr>
        <w:t>登录</w:t>
      </w:r>
      <w:r>
        <w:rPr>
          <w:rFonts w:hint="eastAsia" w:ascii="仿宋" w:hAnsi="仿宋" w:eastAsia="仿宋" w:cs="仿宋"/>
          <w:sz w:val="32"/>
          <w:szCs w:val="32"/>
          <w:lang w:val="en-US"/>
        </w:rPr>
        <w:t>账号</w:t>
      </w:r>
      <w:r>
        <w:rPr>
          <w:rFonts w:hint="eastAsia" w:ascii="仿宋" w:hAnsi="仿宋" w:eastAsia="仿宋" w:cs="仿宋"/>
          <w:kern w:val="32"/>
          <w:sz w:val="32"/>
          <w:szCs w:val="32"/>
          <w:lang w:val="en-US" w:eastAsia="zh-CN"/>
        </w:rPr>
        <w:t>，</w:t>
      </w:r>
      <w:r>
        <w:rPr>
          <w:rFonts w:hint="eastAsia" w:ascii="仿宋" w:hAnsi="仿宋" w:eastAsia="仿宋" w:cs="仿宋"/>
          <w:sz w:val="32"/>
          <w:szCs w:val="32"/>
          <w:lang w:val="en-US"/>
        </w:rPr>
        <w:t>生成账号后，</w:t>
      </w:r>
      <w:r>
        <w:rPr>
          <w:rFonts w:hint="eastAsia" w:ascii="仿宋" w:hAnsi="仿宋" w:eastAsia="仿宋" w:cs="仿宋"/>
          <w:sz w:val="32"/>
          <w:szCs w:val="32"/>
          <w:lang w:val="en-US" w:eastAsia="zh-CN"/>
        </w:rPr>
        <w:t>作者</w:t>
      </w:r>
      <w:r>
        <w:rPr>
          <w:rFonts w:hint="eastAsia" w:ascii="仿宋" w:hAnsi="仿宋" w:eastAsia="仿宋" w:cs="仿宋"/>
          <w:sz w:val="32"/>
          <w:szCs w:val="32"/>
          <w:lang w:val="en-US"/>
        </w:rPr>
        <w:t>自主登录系统进行</w:t>
      </w:r>
      <w:r>
        <w:rPr>
          <w:rFonts w:hint="eastAsia" w:ascii="仿宋" w:hAnsi="仿宋" w:eastAsia="仿宋" w:cs="仿宋"/>
          <w:sz w:val="32"/>
          <w:szCs w:val="32"/>
          <w:lang w:val="en-US" w:eastAsia="zh-CN"/>
        </w:rPr>
        <w:t>基本信息</w:t>
      </w:r>
      <w:r>
        <w:rPr>
          <w:rFonts w:hint="eastAsia" w:ascii="仿宋" w:hAnsi="仿宋" w:eastAsia="仿宋" w:cs="仿宋"/>
          <w:sz w:val="32"/>
          <w:szCs w:val="32"/>
          <w:lang w:val="en-US"/>
        </w:rPr>
        <w:t>填写和</w:t>
      </w:r>
      <w:r>
        <w:rPr>
          <w:rFonts w:hint="eastAsia" w:ascii="仿宋" w:hAnsi="仿宋" w:eastAsia="仿宋" w:cs="仿宋"/>
          <w:sz w:val="32"/>
          <w:szCs w:val="32"/>
          <w:lang w:val="en-US" w:eastAsia="zh-CN"/>
        </w:rPr>
        <w:t>材料</w:t>
      </w:r>
      <w:r>
        <w:rPr>
          <w:rFonts w:hint="eastAsia" w:ascii="仿宋" w:hAnsi="仿宋" w:eastAsia="仿宋" w:cs="仿宋"/>
          <w:sz w:val="32"/>
          <w:szCs w:val="32"/>
          <w:lang w:val="en-US"/>
        </w:rPr>
        <w:t>上传。</w:t>
      </w:r>
      <w:r>
        <w:rPr>
          <w:rFonts w:hint="eastAsia" w:ascii="仿宋" w:hAnsi="仿宋" w:eastAsia="仿宋" w:cs="仿宋"/>
          <w:sz w:val="32"/>
          <w:szCs w:val="32"/>
          <w:lang w:val="en-US" w:eastAsia="zh-CN"/>
        </w:rPr>
        <w:t>作者在系统提交</w:t>
      </w:r>
      <w:r>
        <w:rPr>
          <w:rFonts w:hint="eastAsia" w:ascii="仿宋" w:hAnsi="仿宋" w:eastAsia="仿宋" w:cs="仿宋"/>
          <w:sz w:val="32"/>
          <w:szCs w:val="32"/>
          <w:lang w:val="en-US"/>
        </w:rPr>
        <w:t>后，由单位管理员</w:t>
      </w:r>
      <w:r>
        <w:rPr>
          <w:rFonts w:hint="eastAsia" w:ascii="仿宋" w:hAnsi="仿宋" w:eastAsia="仿宋" w:cs="仿宋"/>
          <w:sz w:val="32"/>
          <w:szCs w:val="32"/>
          <w:lang w:val="en-US" w:eastAsia="zh-CN"/>
        </w:rPr>
        <w:t>审核</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审核</w:t>
      </w:r>
      <w:r>
        <w:rPr>
          <w:rFonts w:hint="eastAsia" w:ascii="仿宋" w:hAnsi="仿宋" w:eastAsia="仿宋" w:cs="仿宋"/>
          <w:sz w:val="32"/>
          <w:szCs w:val="32"/>
          <w:lang w:val="en-US"/>
        </w:rPr>
        <w:t>通过后提交学会进行审核</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学会统一组织专家评审</w:t>
      </w:r>
      <w:r>
        <w:rPr>
          <w:rFonts w:hint="eastAsia" w:ascii="仿宋" w:hAnsi="仿宋" w:eastAsia="仿宋" w:cs="仿宋"/>
          <w:sz w:val="32"/>
          <w:szCs w:val="32"/>
          <w:lang w:val="en-US" w:eastAsia="zh-CN"/>
        </w:rPr>
        <w:t>。</w:t>
      </w:r>
    </w:p>
    <w:p w14:paraId="081BF84F">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b/>
          <w:bCs/>
          <w:kern w:val="32"/>
          <w:sz w:val="32"/>
          <w:szCs w:val="32"/>
          <w:lang w:val="en-US" w:eastAsia="zh-CN"/>
        </w:rPr>
      </w:pPr>
      <w:r>
        <w:rPr>
          <w:rFonts w:hint="eastAsia" w:ascii="仿宋" w:hAnsi="仿宋" w:eastAsia="仿宋" w:cs="仿宋"/>
          <w:kern w:val="32"/>
          <w:sz w:val="32"/>
          <w:szCs w:val="32"/>
          <w:lang w:val="en-US" w:eastAsia="zh-CN"/>
        </w:rPr>
        <w:t>6.</w:t>
      </w:r>
      <w:r>
        <w:rPr>
          <w:rFonts w:hint="eastAsia" w:ascii="仿宋" w:hAnsi="仿宋" w:eastAsia="仿宋" w:cs="仿宋"/>
          <w:b/>
          <w:bCs/>
          <w:kern w:val="32"/>
          <w:sz w:val="32"/>
          <w:szCs w:val="32"/>
          <w:lang w:val="en-US" w:eastAsia="zh-CN"/>
        </w:rPr>
        <w:t>单位管理员需提交的材料如下：</w:t>
      </w:r>
    </w:p>
    <w:p w14:paraId="5C33E164">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32"/>
          <w:sz w:val="32"/>
          <w:szCs w:val="32"/>
        </w:rPr>
      </w:pPr>
      <w:r>
        <w:rPr>
          <w:rFonts w:hint="eastAsia" w:ascii="仿宋" w:hAnsi="仿宋" w:eastAsia="仿宋" w:cs="仿宋"/>
          <w:kern w:val="32"/>
          <w:sz w:val="32"/>
          <w:szCs w:val="32"/>
          <w:lang w:val="en-US" w:eastAsia="zh-CN"/>
        </w:rPr>
        <w:t>（1）</w:t>
      </w:r>
      <w:r>
        <w:rPr>
          <w:rFonts w:hint="eastAsia" w:ascii="仿宋" w:hAnsi="仿宋" w:eastAsia="仿宋" w:cs="仿宋"/>
          <w:kern w:val="32"/>
          <w:sz w:val="32"/>
          <w:szCs w:val="32"/>
          <w:lang w:eastAsia="zh-CN"/>
        </w:rPr>
        <w:t>“</w:t>
      </w:r>
      <w:r>
        <w:rPr>
          <w:rFonts w:hint="eastAsia" w:ascii="仿宋" w:hAnsi="仿宋" w:eastAsia="仿宋" w:cs="仿宋"/>
          <w:kern w:val="32"/>
          <w:sz w:val="32"/>
          <w:szCs w:val="32"/>
        </w:rPr>
        <w:t>20</w:t>
      </w:r>
      <w:r>
        <w:rPr>
          <w:rFonts w:hint="eastAsia" w:ascii="仿宋" w:hAnsi="仿宋" w:eastAsia="仿宋" w:cs="仿宋"/>
          <w:kern w:val="32"/>
          <w:sz w:val="32"/>
          <w:szCs w:val="32"/>
          <w:lang w:val="en-US" w:eastAsia="zh-CN"/>
        </w:rPr>
        <w:t>25</w:t>
      </w:r>
      <w:r>
        <w:rPr>
          <w:rFonts w:hint="eastAsia" w:ascii="仿宋" w:hAnsi="仿宋" w:eastAsia="仿宋" w:cs="仿宋"/>
          <w:kern w:val="32"/>
          <w:sz w:val="32"/>
          <w:szCs w:val="32"/>
        </w:rPr>
        <w:t>年湖南省职业教育与成人教育优秀论文评选参评申报表 </w:t>
      </w:r>
      <w:r>
        <w:rPr>
          <w:rFonts w:hint="eastAsia" w:ascii="仿宋" w:hAnsi="仿宋" w:eastAsia="仿宋" w:cs="仿宋"/>
          <w:kern w:val="32"/>
          <w:sz w:val="32"/>
          <w:szCs w:val="32"/>
          <w:lang w:eastAsia="zh-CN"/>
        </w:rPr>
        <w:t>”</w:t>
      </w:r>
      <w:r>
        <w:rPr>
          <w:rFonts w:hint="eastAsia" w:ascii="仿宋" w:hAnsi="仿宋" w:eastAsia="仿宋" w:cs="仿宋"/>
          <w:kern w:val="32"/>
          <w:sz w:val="32"/>
          <w:szCs w:val="32"/>
        </w:rPr>
        <w:t>（一式</w:t>
      </w:r>
      <w:r>
        <w:rPr>
          <w:rFonts w:hint="eastAsia" w:ascii="仿宋" w:hAnsi="仿宋" w:eastAsia="仿宋" w:cs="仿宋"/>
          <w:kern w:val="32"/>
          <w:sz w:val="32"/>
          <w:szCs w:val="32"/>
          <w:lang w:eastAsia="zh-CN"/>
        </w:rPr>
        <w:t>一</w:t>
      </w:r>
      <w:r>
        <w:rPr>
          <w:rFonts w:hint="eastAsia" w:ascii="仿宋" w:hAnsi="仿宋" w:eastAsia="仿宋" w:cs="仿宋"/>
          <w:kern w:val="32"/>
          <w:sz w:val="32"/>
          <w:szCs w:val="32"/>
        </w:rPr>
        <w:t>份</w:t>
      </w:r>
      <w:r>
        <w:rPr>
          <w:rFonts w:hint="eastAsia" w:ascii="仿宋" w:hAnsi="仿宋" w:eastAsia="仿宋" w:cs="仿宋"/>
          <w:kern w:val="32"/>
          <w:sz w:val="32"/>
          <w:szCs w:val="32"/>
          <w:lang w:eastAsia="zh-CN"/>
        </w:rPr>
        <w:t>，</w:t>
      </w:r>
      <w:r>
        <w:rPr>
          <w:rFonts w:hint="eastAsia" w:ascii="仿宋" w:hAnsi="仿宋" w:eastAsia="仿宋" w:cs="仿宋"/>
          <w:kern w:val="32"/>
          <w:sz w:val="32"/>
          <w:szCs w:val="32"/>
          <w:lang w:val="en-US" w:eastAsia="zh-CN"/>
        </w:rPr>
        <w:t>见附件2</w:t>
      </w:r>
      <w:r>
        <w:rPr>
          <w:rFonts w:hint="eastAsia" w:ascii="仿宋" w:hAnsi="仿宋" w:eastAsia="仿宋" w:cs="仿宋"/>
          <w:kern w:val="32"/>
          <w:sz w:val="32"/>
          <w:szCs w:val="32"/>
        </w:rPr>
        <w:t>）</w:t>
      </w:r>
    </w:p>
    <w:p w14:paraId="0B2AB400">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32"/>
          <w:sz w:val="32"/>
          <w:szCs w:val="32"/>
        </w:rPr>
      </w:pPr>
      <w:r>
        <w:rPr>
          <w:rFonts w:hint="eastAsia" w:ascii="仿宋" w:hAnsi="仿宋" w:eastAsia="仿宋" w:cs="仿宋"/>
          <w:kern w:val="32"/>
          <w:sz w:val="32"/>
          <w:szCs w:val="32"/>
          <w:lang w:eastAsia="zh-CN"/>
        </w:rPr>
        <w:t>（</w:t>
      </w:r>
      <w:r>
        <w:rPr>
          <w:rFonts w:hint="eastAsia" w:ascii="仿宋" w:hAnsi="仿宋" w:eastAsia="仿宋" w:cs="仿宋"/>
          <w:kern w:val="32"/>
          <w:sz w:val="32"/>
          <w:szCs w:val="32"/>
          <w:lang w:val="en-US" w:eastAsia="zh-CN"/>
        </w:rPr>
        <w:t>2</w:t>
      </w:r>
      <w:r>
        <w:rPr>
          <w:rFonts w:hint="eastAsia" w:ascii="仿宋" w:hAnsi="仿宋" w:eastAsia="仿宋" w:cs="仿宋"/>
          <w:kern w:val="32"/>
          <w:sz w:val="32"/>
          <w:szCs w:val="32"/>
          <w:lang w:eastAsia="zh-CN"/>
        </w:rPr>
        <w:t>）“</w:t>
      </w:r>
      <w:r>
        <w:rPr>
          <w:rFonts w:hint="eastAsia" w:ascii="仿宋" w:hAnsi="仿宋" w:eastAsia="仿宋" w:cs="仿宋"/>
          <w:kern w:val="32"/>
          <w:sz w:val="32"/>
          <w:szCs w:val="32"/>
        </w:rPr>
        <w:t>20</w:t>
      </w:r>
      <w:r>
        <w:rPr>
          <w:rFonts w:hint="eastAsia" w:ascii="仿宋" w:hAnsi="仿宋" w:eastAsia="仿宋" w:cs="仿宋"/>
          <w:kern w:val="32"/>
          <w:sz w:val="32"/>
          <w:szCs w:val="32"/>
          <w:lang w:val="en-US" w:eastAsia="zh-CN"/>
        </w:rPr>
        <w:t>25</w:t>
      </w:r>
      <w:r>
        <w:rPr>
          <w:rFonts w:hint="eastAsia" w:ascii="仿宋" w:hAnsi="仿宋" w:eastAsia="仿宋" w:cs="仿宋"/>
          <w:kern w:val="32"/>
          <w:sz w:val="32"/>
          <w:szCs w:val="32"/>
        </w:rPr>
        <w:t>年湖南省职业教育与成人教育优秀论文评选推荐参评论文清单</w:t>
      </w:r>
      <w:r>
        <w:rPr>
          <w:rFonts w:hint="eastAsia" w:ascii="仿宋" w:hAnsi="仿宋" w:eastAsia="仿宋" w:cs="仿宋"/>
          <w:kern w:val="32"/>
          <w:sz w:val="32"/>
          <w:szCs w:val="32"/>
          <w:lang w:eastAsia="zh-CN"/>
        </w:rPr>
        <w:t>”</w:t>
      </w:r>
      <w:r>
        <w:rPr>
          <w:rFonts w:hint="eastAsia" w:ascii="仿宋" w:hAnsi="仿宋" w:eastAsia="仿宋" w:cs="仿宋"/>
          <w:kern w:val="32"/>
          <w:sz w:val="32"/>
          <w:szCs w:val="32"/>
        </w:rPr>
        <w:t>（一式一份，见附件3）</w:t>
      </w:r>
    </w:p>
    <w:p w14:paraId="00C2BE1A">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32"/>
          <w:sz w:val="32"/>
          <w:szCs w:val="32"/>
          <w:lang w:val="en-US" w:eastAsia="zh-CN"/>
        </w:rPr>
      </w:pPr>
      <w:r>
        <w:rPr>
          <w:rFonts w:hint="eastAsia" w:ascii="仿宋" w:hAnsi="仿宋" w:eastAsia="仿宋" w:cs="仿宋"/>
          <w:kern w:val="32"/>
          <w:sz w:val="32"/>
          <w:szCs w:val="32"/>
          <w:lang w:eastAsia="zh-CN"/>
        </w:rPr>
        <w:t>（</w:t>
      </w:r>
      <w:r>
        <w:rPr>
          <w:rFonts w:hint="eastAsia" w:ascii="仿宋" w:hAnsi="仿宋" w:eastAsia="仿宋" w:cs="仿宋"/>
          <w:kern w:val="32"/>
          <w:sz w:val="32"/>
          <w:szCs w:val="32"/>
          <w:lang w:val="en-US" w:eastAsia="zh-CN"/>
        </w:rPr>
        <w:t>3</w:t>
      </w:r>
      <w:r>
        <w:rPr>
          <w:rFonts w:hint="eastAsia" w:ascii="仿宋" w:hAnsi="仿宋" w:eastAsia="仿宋" w:cs="仿宋"/>
          <w:kern w:val="32"/>
          <w:sz w:val="32"/>
          <w:szCs w:val="32"/>
          <w:lang w:eastAsia="zh-CN"/>
        </w:rPr>
        <w:t>）</w:t>
      </w:r>
      <w:r>
        <w:rPr>
          <w:rFonts w:hint="eastAsia" w:ascii="仿宋" w:hAnsi="仿宋" w:eastAsia="仿宋" w:cs="仿宋"/>
          <w:kern w:val="32"/>
          <w:sz w:val="32"/>
          <w:szCs w:val="32"/>
          <w:lang w:val="en-US" w:eastAsia="zh-CN"/>
        </w:rPr>
        <w:t>所有参评论文电子版（word）一份</w:t>
      </w:r>
    </w:p>
    <w:p w14:paraId="7CF51AAF">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b/>
          <w:bCs/>
          <w:kern w:val="0"/>
          <w:sz w:val="32"/>
          <w:szCs w:val="32"/>
        </w:rPr>
      </w:pPr>
      <w:r>
        <w:rPr>
          <w:rFonts w:hint="eastAsia" w:ascii="仿宋" w:hAnsi="仿宋" w:eastAsia="仿宋" w:cs="仿宋"/>
          <w:kern w:val="32"/>
          <w:sz w:val="32"/>
          <w:szCs w:val="32"/>
          <w:lang w:val="en-US" w:eastAsia="zh-CN"/>
        </w:rPr>
        <w:t>上述三份材料打包发送至学会邮箱，</w:t>
      </w:r>
      <w:r>
        <w:rPr>
          <w:rFonts w:hint="eastAsia" w:ascii="仿宋" w:hAnsi="仿宋" w:eastAsia="仿宋" w:cs="仿宋"/>
          <w:kern w:val="0"/>
          <w:sz w:val="32"/>
          <w:szCs w:val="32"/>
        </w:rPr>
        <w:t>其</w:t>
      </w:r>
      <w:r>
        <w:rPr>
          <w:rFonts w:hint="eastAsia" w:ascii="仿宋" w:hAnsi="仿宋" w:eastAsia="仿宋" w:cs="仿宋"/>
          <w:kern w:val="32"/>
          <w:sz w:val="32"/>
          <w:szCs w:val="32"/>
        </w:rPr>
        <w:t>格式如下：</w:t>
      </w:r>
      <w:r>
        <w:rPr>
          <w:rFonts w:hint="eastAsia" w:ascii="仿宋" w:hAnsi="仿宋" w:eastAsia="仿宋" w:cs="仿宋"/>
          <w:kern w:val="0"/>
          <w:sz w:val="32"/>
          <w:szCs w:val="32"/>
        </w:rPr>
        <w:t>以市（州）或学校名称命名建立文件夹，</w:t>
      </w:r>
      <w:r>
        <w:rPr>
          <w:rFonts w:hint="eastAsia" w:ascii="仿宋" w:hAnsi="仿宋" w:eastAsia="仿宋" w:cs="仿宋"/>
          <w:kern w:val="0"/>
          <w:sz w:val="32"/>
          <w:szCs w:val="32"/>
          <w:lang w:val="en-US" w:eastAsia="zh-CN"/>
        </w:rPr>
        <w:t>文件夹中应包含论文以及对应申报表。</w:t>
      </w:r>
      <w:r>
        <w:rPr>
          <w:rFonts w:hint="eastAsia" w:ascii="仿宋" w:hAnsi="仿宋" w:eastAsia="仿宋" w:cs="仿宋"/>
          <w:kern w:val="0"/>
          <w:sz w:val="32"/>
          <w:szCs w:val="32"/>
        </w:rPr>
        <w:t>每一篇</w:t>
      </w:r>
      <w:r>
        <w:rPr>
          <w:rFonts w:hint="eastAsia" w:ascii="仿宋" w:hAnsi="仿宋" w:eastAsia="仿宋" w:cs="仿宋"/>
          <w:kern w:val="0"/>
          <w:sz w:val="32"/>
          <w:szCs w:val="32"/>
          <w:lang w:eastAsia="zh-CN"/>
        </w:rPr>
        <w:t>推荐</w:t>
      </w:r>
      <w:r>
        <w:rPr>
          <w:rFonts w:hint="eastAsia" w:ascii="仿宋" w:hAnsi="仿宋" w:eastAsia="仿宋" w:cs="仿宋"/>
          <w:kern w:val="0"/>
          <w:sz w:val="32"/>
          <w:szCs w:val="32"/>
        </w:rPr>
        <w:t>论文的word文档按</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序号+姓名+论文题目</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命名</w:t>
      </w:r>
      <w:r>
        <w:rPr>
          <w:rFonts w:hint="eastAsia" w:ascii="仿宋" w:hAnsi="仿宋" w:eastAsia="仿宋" w:cs="仿宋"/>
          <w:kern w:val="0"/>
          <w:sz w:val="32"/>
          <w:szCs w:val="32"/>
          <w:lang w:eastAsia="zh-CN"/>
        </w:rPr>
        <w:t>，并与“</w:t>
      </w:r>
      <w:r>
        <w:rPr>
          <w:rFonts w:hint="eastAsia" w:ascii="仿宋" w:hAnsi="仿宋" w:eastAsia="仿宋" w:cs="仿宋"/>
          <w:kern w:val="0"/>
          <w:sz w:val="32"/>
          <w:szCs w:val="32"/>
        </w:rPr>
        <w:t>参评</w:t>
      </w:r>
      <w:r>
        <w:rPr>
          <w:rFonts w:hint="eastAsia" w:ascii="仿宋" w:hAnsi="仿宋" w:eastAsia="仿宋" w:cs="仿宋"/>
          <w:kern w:val="0"/>
          <w:sz w:val="32"/>
          <w:szCs w:val="32"/>
          <w:lang w:eastAsia="zh-CN"/>
        </w:rPr>
        <w:t>论文清单”对应</w:t>
      </w:r>
      <w:r>
        <w:rPr>
          <w:rFonts w:hint="eastAsia" w:ascii="仿宋" w:hAnsi="仿宋" w:eastAsia="仿宋" w:cs="仿宋"/>
          <w:kern w:val="0"/>
          <w:sz w:val="32"/>
          <w:szCs w:val="32"/>
        </w:rPr>
        <w:t>。</w:t>
      </w:r>
      <w:r>
        <w:rPr>
          <w:rFonts w:hint="eastAsia" w:ascii="仿宋" w:hAnsi="仿宋" w:eastAsia="仿宋" w:cs="仿宋"/>
          <w:b/>
          <w:bCs/>
          <w:kern w:val="0"/>
          <w:sz w:val="32"/>
          <w:szCs w:val="32"/>
          <w:lang w:val="en-US" w:eastAsia="zh-CN"/>
        </w:rPr>
        <w:t>没有提交上述材料的单位，论文不予评审</w:t>
      </w:r>
      <w:r>
        <w:rPr>
          <w:rFonts w:hint="eastAsia" w:ascii="仿宋" w:hAnsi="仿宋" w:eastAsia="仿宋" w:cs="仿宋"/>
          <w:b/>
          <w:bCs/>
          <w:kern w:val="0"/>
          <w:sz w:val="32"/>
          <w:szCs w:val="32"/>
        </w:rPr>
        <w:t>。</w:t>
      </w:r>
    </w:p>
    <w:p w14:paraId="2A69385A">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7</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本次论文评审不收取评审费用。</w:t>
      </w:r>
    </w:p>
    <w:p w14:paraId="1401F8D6">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b/>
          <w:bCs/>
          <w:color w:val="000000"/>
          <w:kern w:val="0"/>
          <w:sz w:val="32"/>
          <w:szCs w:val="32"/>
          <w:lang w:val="en-US" w:eastAsia="zh-CN"/>
        </w:rPr>
      </w:pPr>
      <w:r>
        <w:rPr>
          <w:rFonts w:hint="eastAsia" w:ascii="仿宋" w:hAnsi="仿宋" w:eastAsia="仿宋" w:cs="仿宋"/>
          <w:kern w:val="32"/>
          <w:sz w:val="32"/>
          <w:szCs w:val="32"/>
          <w:lang w:val="en-US" w:eastAsia="zh-CN"/>
        </w:rPr>
        <w:t>8.</w:t>
      </w:r>
      <w:r>
        <w:rPr>
          <w:rFonts w:hint="eastAsia" w:ascii="仿宋" w:hAnsi="仿宋" w:eastAsia="仿宋" w:cs="仿宋"/>
          <w:b/>
          <w:bCs/>
          <w:color w:val="000000"/>
          <w:kern w:val="0"/>
          <w:sz w:val="32"/>
          <w:szCs w:val="32"/>
          <w:lang w:val="en-US" w:eastAsia="zh-CN"/>
        </w:rPr>
        <w:t>所有需要盖章的文档均需盖章后扫描成pdf文档发送，没有盖章的材料不予评审，图片格式不予评审。</w:t>
      </w:r>
    </w:p>
    <w:p w14:paraId="0E6CB2DE">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32"/>
          <w:sz w:val="32"/>
          <w:szCs w:val="32"/>
        </w:rPr>
      </w:pPr>
      <w:r>
        <w:rPr>
          <w:rFonts w:hint="eastAsia" w:ascii="仿宋" w:hAnsi="仿宋" w:eastAsia="仿宋" w:cs="仿宋"/>
          <w:kern w:val="32"/>
          <w:sz w:val="32"/>
          <w:szCs w:val="32"/>
        </w:rPr>
        <w:t>四、评审及奖项设立</w:t>
      </w:r>
    </w:p>
    <w:p w14:paraId="2CC8D078">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1.</w:t>
      </w:r>
      <w:r>
        <w:rPr>
          <w:rFonts w:hint="eastAsia" w:ascii="仿宋" w:hAnsi="仿宋" w:eastAsia="仿宋" w:cs="仿宋"/>
          <w:kern w:val="32"/>
          <w:sz w:val="32"/>
          <w:szCs w:val="32"/>
        </w:rPr>
        <w:t>成立由本会会长为组长的评审领导小组，领导小组下设评审办公室，由本会秘书长任主任；聘请职业院校、职成教育研究机构、行业企业专家组成评审小组。评审活动在领导小组领导下进行。</w:t>
      </w:r>
    </w:p>
    <w:p w14:paraId="69D2CE42">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32"/>
          <w:sz w:val="32"/>
          <w:szCs w:val="32"/>
        </w:rPr>
      </w:pPr>
      <w:r>
        <w:rPr>
          <w:rFonts w:hint="eastAsia" w:ascii="仿宋" w:hAnsi="仿宋" w:eastAsia="仿宋" w:cs="仿宋"/>
          <w:kern w:val="32"/>
          <w:sz w:val="32"/>
          <w:szCs w:val="32"/>
        </w:rPr>
        <w:t>2.本次优秀论文评审设一、二、三等奖，</w:t>
      </w:r>
      <w:r>
        <w:rPr>
          <w:rFonts w:hint="eastAsia" w:ascii="仿宋" w:hAnsi="仿宋" w:eastAsia="仿宋" w:cs="仿宋"/>
          <w:kern w:val="0"/>
          <w:sz w:val="32"/>
          <w:szCs w:val="32"/>
        </w:rPr>
        <w:t>各等级获奖篇数分别占参评论文总数的10%、20%、30%。获奖论文将颁发优秀论文获奖证书。</w:t>
      </w:r>
    </w:p>
    <w:p w14:paraId="7249CEE5">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32"/>
          <w:sz w:val="32"/>
          <w:szCs w:val="32"/>
        </w:rPr>
      </w:pPr>
      <w:r>
        <w:rPr>
          <w:rFonts w:hint="eastAsia" w:ascii="仿宋" w:hAnsi="仿宋" w:eastAsia="仿宋" w:cs="仿宋"/>
          <w:kern w:val="32"/>
          <w:sz w:val="32"/>
          <w:szCs w:val="32"/>
        </w:rPr>
        <w:t>五、其他事项</w:t>
      </w:r>
    </w:p>
    <w:p w14:paraId="23F9D155">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1.论文必须是作者本人的研究成果，严禁抄袭或剽窃他人的成果或作品，一经发现将严厉查处，取消获奖荣誉，书面通报</w:t>
      </w:r>
      <w:r>
        <w:rPr>
          <w:rFonts w:hint="eastAsia" w:ascii="仿宋" w:hAnsi="仿宋" w:eastAsia="仿宋" w:cs="仿宋"/>
          <w:kern w:val="0"/>
          <w:sz w:val="32"/>
          <w:szCs w:val="32"/>
          <w:lang w:val="en-US" w:eastAsia="zh-CN"/>
        </w:rPr>
        <w:t>作者</w:t>
      </w:r>
      <w:r>
        <w:rPr>
          <w:rFonts w:hint="eastAsia" w:ascii="仿宋" w:hAnsi="仿宋" w:eastAsia="仿宋" w:cs="仿宋"/>
          <w:kern w:val="0"/>
          <w:sz w:val="32"/>
          <w:szCs w:val="32"/>
        </w:rPr>
        <w:t>本人及</w:t>
      </w:r>
      <w:r>
        <w:rPr>
          <w:rFonts w:hint="eastAsia" w:ascii="仿宋" w:hAnsi="仿宋" w:eastAsia="仿宋" w:cs="仿宋"/>
          <w:kern w:val="0"/>
          <w:sz w:val="32"/>
          <w:szCs w:val="32"/>
          <w:lang w:val="en-US" w:eastAsia="zh-CN"/>
        </w:rPr>
        <w:t>所在</w:t>
      </w:r>
      <w:r>
        <w:rPr>
          <w:rFonts w:hint="eastAsia" w:ascii="仿宋" w:hAnsi="仿宋" w:eastAsia="仿宋" w:cs="仿宋"/>
          <w:kern w:val="0"/>
          <w:sz w:val="32"/>
          <w:szCs w:val="32"/>
        </w:rPr>
        <w:t>单位，个人3年之内不能参加本会组织的论文评选、科研规划课题申报。</w:t>
      </w:r>
    </w:p>
    <w:p w14:paraId="0892CD1E">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2.请各单位</w:t>
      </w:r>
      <w:r>
        <w:rPr>
          <w:rFonts w:hint="eastAsia" w:ascii="仿宋" w:hAnsi="仿宋" w:eastAsia="仿宋" w:cs="仿宋"/>
          <w:color w:val="000000"/>
          <w:kern w:val="0"/>
          <w:sz w:val="32"/>
          <w:szCs w:val="32"/>
        </w:rPr>
        <w:t>于20</w:t>
      </w:r>
      <w:r>
        <w:rPr>
          <w:rFonts w:hint="eastAsia" w:ascii="仿宋" w:hAnsi="仿宋" w:eastAsia="仿宋" w:cs="仿宋"/>
          <w:color w:val="000000"/>
          <w:kern w:val="0"/>
          <w:sz w:val="32"/>
          <w:szCs w:val="32"/>
          <w:lang w:val="en-US" w:eastAsia="zh-CN"/>
        </w:rPr>
        <w:t>25</w:t>
      </w:r>
      <w:r>
        <w:rPr>
          <w:rFonts w:hint="eastAsia" w:ascii="仿宋" w:hAnsi="仿宋" w:eastAsia="仿宋" w:cs="仿宋"/>
          <w:color w:val="000000"/>
          <w:kern w:val="0"/>
          <w:sz w:val="32"/>
          <w:szCs w:val="32"/>
        </w:rPr>
        <w:t>年</w:t>
      </w:r>
      <w:r>
        <w:rPr>
          <w:rFonts w:hint="eastAsia" w:ascii="仿宋" w:hAnsi="仿宋" w:eastAsia="仿宋" w:cs="仿宋"/>
          <w:color w:val="000000"/>
          <w:kern w:val="0"/>
          <w:sz w:val="32"/>
          <w:szCs w:val="32"/>
          <w:lang w:val="en-US" w:eastAsia="zh-CN"/>
        </w:rPr>
        <w:t>11</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日前完成初评工作（包括甄别是否抄袭），</w:t>
      </w:r>
      <w:r>
        <w:rPr>
          <w:rFonts w:hint="eastAsia" w:ascii="仿宋" w:hAnsi="仿宋" w:eastAsia="仿宋" w:cs="仿宋"/>
          <w:color w:val="000000"/>
          <w:kern w:val="0"/>
          <w:sz w:val="32"/>
          <w:szCs w:val="32"/>
          <w:lang w:val="en-US" w:eastAsia="zh-CN"/>
        </w:rPr>
        <w:t>学会科研系统</w:t>
      </w:r>
      <w:r>
        <w:rPr>
          <w:rFonts w:hint="eastAsia" w:ascii="仿宋" w:hAnsi="仿宋" w:eastAsia="仿宋" w:cs="仿宋"/>
          <w:color w:val="000000"/>
          <w:kern w:val="0"/>
          <w:sz w:val="32"/>
          <w:szCs w:val="32"/>
        </w:rPr>
        <w:t>受理申报材料时间为</w:t>
      </w:r>
      <w:r>
        <w:rPr>
          <w:rFonts w:hint="eastAsia" w:ascii="仿宋" w:hAnsi="仿宋" w:eastAsia="仿宋" w:cs="仿宋"/>
          <w:color w:val="000000"/>
          <w:kern w:val="0"/>
          <w:sz w:val="32"/>
          <w:szCs w:val="32"/>
          <w:lang w:val="en-US" w:eastAsia="zh-CN"/>
        </w:rPr>
        <w:t>11</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21</w:t>
      </w:r>
      <w:r>
        <w:rPr>
          <w:rFonts w:hint="eastAsia" w:ascii="仿宋" w:hAnsi="仿宋" w:eastAsia="仿宋" w:cs="仿宋"/>
          <w:color w:val="000000"/>
          <w:kern w:val="0"/>
          <w:sz w:val="32"/>
          <w:szCs w:val="32"/>
        </w:rPr>
        <w:t>日至</w:t>
      </w:r>
      <w:r>
        <w:rPr>
          <w:rFonts w:hint="eastAsia" w:ascii="仿宋" w:hAnsi="仿宋" w:eastAsia="仿宋" w:cs="仿宋"/>
          <w:color w:val="000000"/>
          <w:kern w:val="0"/>
          <w:sz w:val="32"/>
          <w:szCs w:val="32"/>
          <w:lang w:val="en-US" w:eastAsia="zh-CN"/>
        </w:rPr>
        <w:t>11</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27</w:t>
      </w:r>
      <w:r>
        <w:rPr>
          <w:rFonts w:hint="eastAsia" w:ascii="仿宋" w:hAnsi="仿宋" w:eastAsia="仿宋" w:cs="仿宋"/>
          <w:color w:val="000000"/>
          <w:kern w:val="0"/>
          <w:sz w:val="32"/>
          <w:szCs w:val="32"/>
        </w:rPr>
        <w:t>日，逾期不予受理。</w:t>
      </w:r>
    </w:p>
    <w:p w14:paraId="1BCEEE6F">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3.单位管理员请加入学会科研工作管理员QQ群：975135116</w:t>
      </w:r>
    </w:p>
    <w:p w14:paraId="29F98E7D">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.评审办公室设湖南省职业教育与成人教育学会秘书处</w:t>
      </w:r>
      <w:r>
        <w:rPr>
          <w:rFonts w:hint="eastAsia" w:ascii="仿宋" w:hAnsi="仿宋" w:eastAsia="仿宋" w:cs="仿宋"/>
          <w:kern w:val="0"/>
          <w:sz w:val="32"/>
          <w:szCs w:val="32"/>
          <w:lang w:eastAsia="zh-CN"/>
        </w:rPr>
        <w:t>。</w:t>
      </w:r>
    </w:p>
    <w:p w14:paraId="262C0A91">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地</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址：</w:t>
      </w:r>
      <w:r>
        <w:rPr>
          <w:rFonts w:hint="eastAsia" w:ascii="仿宋" w:hAnsi="仿宋" w:eastAsia="仿宋" w:cs="仿宋"/>
          <w:kern w:val="0"/>
          <w:sz w:val="32"/>
          <w:szCs w:val="32"/>
          <w:lang w:val="en-US" w:eastAsia="zh-CN"/>
        </w:rPr>
        <w:t>长沙民政职业技术学院6栋406办公室</w:t>
      </w:r>
    </w:p>
    <w:p w14:paraId="5901E687">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联</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系</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人：</w:t>
      </w:r>
      <w:r>
        <w:rPr>
          <w:rFonts w:hint="eastAsia" w:ascii="仿宋" w:hAnsi="仿宋" w:eastAsia="仿宋" w:cs="仿宋"/>
          <w:color w:val="000000"/>
          <w:kern w:val="0"/>
          <w:sz w:val="32"/>
          <w:szCs w:val="32"/>
          <w:lang w:val="en-US" w:eastAsia="zh-CN"/>
        </w:rPr>
        <w:t>周玲、杨洋</w:t>
      </w:r>
    </w:p>
    <w:p w14:paraId="73E0C72B">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电</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话</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15574326936、17857315984</w:t>
      </w:r>
    </w:p>
    <w:p w14:paraId="6D67259B">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电子邮箱：hnzcxh2024@163.com。</w:t>
      </w:r>
    </w:p>
    <w:p w14:paraId="3F493F40">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.本通知</w:t>
      </w:r>
      <w:r>
        <w:rPr>
          <w:rFonts w:hint="eastAsia" w:ascii="仿宋" w:hAnsi="仿宋" w:eastAsia="仿宋" w:cs="仿宋"/>
          <w:color w:val="000000"/>
          <w:kern w:val="0"/>
          <w:sz w:val="32"/>
          <w:szCs w:val="32"/>
        </w:rPr>
        <w:t>可在</w:t>
      </w:r>
      <w:r>
        <w:rPr>
          <w:rFonts w:hint="eastAsia" w:ascii="仿宋" w:hAnsi="仿宋" w:eastAsia="仿宋" w:cs="仿宋"/>
          <w:color w:val="000000"/>
          <w:kern w:val="0"/>
          <w:sz w:val="32"/>
          <w:szCs w:val="32"/>
          <w:lang w:val="en-US" w:eastAsia="zh-CN"/>
        </w:rPr>
        <w:t>湖南省职业教育与成人教育学会官网</w:t>
      </w:r>
      <w:r>
        <w:rPr>
          <w:rFonts w:hint="eastAsia" w:ascii="仿宋" w:hAnsi="仿宋" w:eastAsia="仿宋" w:cs="仿宋"/>
          <w:kern w:val="0"/>
          <w:sz w:val="32"/>
          <w:szCs w:val="32"/>
          <w:lang w:eastAsia="zh-CN"/>
        </w:rPr>
        <w:t>下</w:t>
      </w:r>
      <w:r>
        <w:rPr>
          <w:rFonts w:hint="eastAsia" w:ascii="仿宋" w:hAnsi="仿宋" w:eastAsia="仿宋" w:cs="仿宋"/>
          <w:kern w:val="0"/>
          <w:sz w:val="32"/>
          <w:szCs w:val="32"/>
        </w:rPr>
        <w:t>载</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网站地址如下：http://www.hsvae.com</w:t>
      </w:r>
    </w:p>
    <w:p w14:paraId="68C2984F">
      <w:pPr>
        <w:pStyle w:val="2"/>
        <w:pageBreakBefore w:val="0"/>
        <w:widowControl w:val="0"/>
        <w:kinsoku/>
        <w:wordWrap/>
        <w:overflowPunct/>
        <w:topLinePunct w:val="0"/>
        <w:bidi w:val="0"/>
        <w:spacing w:line="500" w:lineRule="exact"/>
        <w:textAlignment w:val="auto"/>
        <w:rPr>
          <w:rFonts w:hint="eastAsia"/>
          <w:lang w:val="en-US" w:eastAsia="zh-CN"/>
        </w:rPr>
      </w:pPr>
    </w:p>
    <w:p w14:paraId="4D528947">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rFonts w:hint="eastAsia" w:ascii="仿宋" w:hAnsi="仿宋" w:eastAsia="仿宋" w:cs="仿宋"/>
          <w:kern w:val="0"/>
          <w:sz w:val="32"/>
          <w:szCs w:val="32"/>
        </w:rPr>
      </w:pPr>
      <w:r>
        <w:rPr>
          <w:rFonts w:hint="eastAsia" w:eastAsia="仿宋"/>
          <w:lang w:val="en-US" w:eastAsia="zh-CN"/>
        </w:rPr>
        <w:t xml:space="preserve">  </w:t>
      </w:r>
      <w:r>
        <w:rPr>
          <w:rFonts w:hint="eastAsia" w:ascii="仿宋" w:hAnsi="仿宋" w:eastAsia="仿宋" w:cs="仿宋"/>
          <w:kern w:val="0"/>
          <w:sz w:val="32"/>
          <w:szCs w:val="32"/>
        </w:rPr>
        <w:t>附：</w:t>
      </w:r>
    </w:p>
    <w:p w14:paraId="53DF818D">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w w:val="92"/>
          <w:kern w:val="0"/>
          <w:sz w:val="32"/>
          <w:szCs w:val="32"/>
        </w:rPr>
      </w:pPr>
      <w:r>
        <w:rPr>
          <w:rFonts w:hint="eastAsia" w:ascii="仿宋" w:hAnsi="仿宋" w:eastAsia="仿宋" w:cs="仿宋"/>
          <w:kern w:val="0"/>
          <w:sz w:val="32"/>
          <w:szCs w:val="32"/>
        </w:rPr>
        <w:t>1.</w:t>
      </w:r>
      <w:r>
        <w:rPr>
          <w:rFonts w:hint="eastAsia" w:ascii="仿宋" w:hAnsi="仿宋" w:eastAsia="仿宋" w:cs="仿宋"/>
          <w:w w:val="92"/>
          <w:kern w:val="0"/>
          <w:sz w:val="32"/>
          <w:szCs w:val="32"/>
        </w:rPr>
        <w:t>湖南省职业教育与成人教育优秀论文评选参评论文格式要求</w:t>
      </w:r>
    </w:p>
    <w:p w14:paraId="5851C7D9">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w w:val="92"/>
          <w:kern w:val="0"/>
          <w:sz w:val="32"/>
          <w:szCs w:val="32"/>
        </w:rPr>
      </w:pPr>
      <w:r>
        <w:rPr>
          <w:rFonts w:hint="eastAsia" w:ascii="仿宋" w:hAnsi="仿宋" w:eastAsia="仿宋" w:cs="仿宋"/>
          <w:kern w:val="0"/>
          <w:sz w:val="32"/>
          <w:szCs w:val="32"/>
        </w:rPr>
        <w:t>2.</w:t>
      </w:r>
      <w:r>
        <w:rPr>
          <w:rFonts w:hint="eastAsia" w:ascii="仿宋" w:hAnsi="仿宋" w:eastAsia="仿宋" w:cs="仿宋"/>
          <w:w w:val="92"/>
          <w:kern w:val="0"/>
          <w:sz w:val="32"/>
          <w:szCs w:val="32"/>
        </w:rPr>
        <w:t>20</w:t>
      </w:r>
      <w:r>
        <w:rPr>
          <w:rFonts w:hint="eastAsia" w:ascii="仿宋" w:hAnsi="仿宋" w:eastAsia="仿宋" w:cs="仿宋"/>
          <w:w w:val="92"/>
          <w:kern w:val="0"/>
          <w:sz w:val="32"/>
          <w:szCs w:val="32"/>
          <w:lang w:val="en-US" w:eastAsia="zh-CN"/>
        </w:rPr>
        <w:t>25</w:t>
      </w:r>
      <w:r>
        <w:rPr>
          <w:rFonts w:hint="eastAsia" w:ascii="仿宋" w:hAnsi="仿宋" w:eastAsia="仿宋" w:cs="仿宋"/>
          <w:w w:val="92"/>
          <w:kern w:val="0"/>
          <w:sz w:val="32"/>
          <w:szCs w:val="32"/>
        </w:rPr>
        <w:t>年湖南省职业教育与成人教育优秀论文评选参评申报表</w:t>
      </w:r>
    </w:p>
    <w:p w14:paraId="2EC0D427">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3.</w:t>
      </w:r>
      <w:r>
        <w:rPr>
          <w:rFonts w:hint="eastAsia" w:ascii="仿宋" w:hAnsi="仿宋" w:eastAsia="仿宋" w:cs="仿宋"/>
          <w:w w:val="82"/>
          <w:kern w:val="0"/>
          <w:sz w:val="32"/>
          <w:szCs w:val="32"/>
        </w:rPr>
        <w:t>20</w:t>
      </w:r>
      <w:r>
        <w:rPr>
          <w:rFonts w:hint="eastAsia" w:ascii="仿宋" w:hAnsi="仿宋" w:eastAsia="仿宋" w:cs="仿宋"/>
          <w:w w:val="82"/>
          <w:kern w:val="0"/>
          <w:sz w:val="32"/>
          <w:szCs w:val="32"/>
          <w:lang w:val="en-US" w:eastAsia="zh-CN"/>
        </w:rPr>
        <w:t>25</w:t>
      </w:r>
      <w:r>
        <w:rPr>
          <w:rFonts w:hint="eastAsia" w:ascii="仿宋" w:hAnsi="仿宋" w:eastAsia="仿宋" w:cs="仿宋"/>
          <w:w w:val="82"/>
          <w:kern w:val="0"/>
          <w:sz w:val="32"/>
          <w:szCs w:val="32"/>
        </w:rPr>
        <w:t>年湖南省职业教育与成人教育优秀论文评选推荐参评论文清单</w:t>
      </w:r>
      <w:r>
        <w:rPr>
          <w:rFonts w:hint="eastAsia" w:ascii="仿宋" w:hAnsi="仿宋" w:eastAsia="仿宋" w:cs="仿宋"/>
          <w:kern w:val="0"/>
          <w:sz w:val="32"/>
          <w:szCs w:val="32"/>
        </w:rPr>
        <w:t> </w:t>
      </w:r>
    </w:p>
    <w:p w14:paraId="62C5A064">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w w:val="82"/>
          <w:kern w:val="0"/>
          <w:sz w:val="32"/>
          <w:szCs w:val="32"/>
          <w:lang w:val="en-US" w:eastAsia="zh-CN"/>
        </w:rPr>
      </w:pPr>
      <w:r>
        <w:rPr>
          <w:rFonts w:hint="eastAsia" w:ascii="仿宋" w:hAnsi="仿宋" w:eastAsia="仿宋" w:cs="仿宋"/>
          <w:kern w:val="0"/>
          <w:sz w:val="32"/>
          <w:szCs w:val="32"/>
          <w:lang w:val="en-US" w:eastAsia="zh-CN"/>
        </w:rPr>
        <w:t>4.湖</w:t>
      </w:r>
      <w:r>
        <w:rPr>
          <w:rFonts w:hint="eastAsia" w:ascii="仿宋" w:hAnsi="仿宋" w:eastAsia="仿宋" w:cs="仿宋"/>
          <w:w w:val="82"/>
          <w:kern w:val="0"/>
          <w:sz w:val="32"/>
          <w:szCs w:val="32"/>
          <w:lang w:val="en-US" w:eastAsia="zh-CN"/>
        </w:rPr>
        <w:t>南省职业教育与成人教育学会科研规划课题单位管理员信息表</w:t>
      </w:r>
    </w:p>
    <w:p w14:paraId="1F5CEC8B">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5.学会科研管理系统-优秀论文申报-申报老师操作手册</w:t>
      </w:r>
    </w:p>
    <w:p w14:paraId="74143410">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6.学会科研管理系统-优秀论文申报-管理员操作手册</w:t>
      </w:r>
    </w:p>
    <w:p w14:paraId="1D0B1DBA">
      <w:pPr>
        <w:keepNext w:val="0"/>
        <w:keepLines w:val="0"/>
        <w:pageBreakBefore w:val="0"/>
        <w:widowControl w:val="0"/>
        <w:kinsoku/>
        <w:wordWrap/>
        <w:overflowPunct/>
        <w:topLinePunct w:val="0"/>
        <w:autoSpaceDE/>
        <w:autoSpaceDN/>
        <w:bidi w:val="0"/>
        <w:adjustRightInd w:val="0"/>
        <w:snapToGrid/>
        <w:spacing w:line="500" w:lineRule="exac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842CB64">
      <w:pPr>
        <w:keepNext w:val="0"/>
        <w:keepLines w:val="0"/>
        <w:pageBreakBefore w:val="0"/>
        <w:widowControl w:val="0"/>
        <w:kinsoku/>
        <w:wordWrap/>
        <w:overflowPunct/>
        <w:topLinePunct w:val="0"/>
        <w:autoSpaceDE/>
        <w:autoSpaceDN/>
        <w:bidi w:val="0"/>
        <w:adjustRightInd w:val="0"/>
        <w:snapToGrid/>
        <w:spacing w:line="500" w:lineRule="exact"/>
        <w:ind w:firstLine="3520" w:firstLineChars="1100"/>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26D586EF">
      <w:pPr>
        <w:keepNext w:val="0"/>
        <w:keepLines w:val="0"/>
        <w:pageBreakBefore w:val="0"/>
        <w:widowControl w:val="0"/>
        <w:kinsoku/>
        <w:wordWrap/>
        <w:overflowPunct/>
        <w:topLinePunct w:val="0"/>
        <w:autoSpaceDE/>
        <w:autoSpaceDN/>
        <w:bidi w:val="0"/>
        <w:adjustRightInd w:val="0"/>
        <w:snapToGrid/>
        <w:spacing w:line="500" w:lineRule="exact"/>
        <w:ind w:firstLine="3520" w:firstLineChars="1100"/>
        <w:textAlignment w:val="auto"/>
        <w:rPr>
          <w:rFonts w:hint="eastAsia" w:ascii="仿宋" w:hAnsi="仿宋" w:eastAsia="仿宋" w:cs="仿宋"/>
          <w:kern w:val="0"/>
          <w:sz w:val="32"/>
          <w:szCs w:val="32"/>
        </w:rPr>
      </w:pPr>
    </w:p>
    <w:p w14:paraId="3FF4D874">
      <w:pPr>
        <w:keepNext w:val="0"/>
        <w:keepLines w:val="0"/>
        <w:pageBreakBefore w:val="0"/>
        <w:widowControl w:val="0"/>
        <w:kinsoku/>
        <w:wordWrap/>
        <w:overflowPunct/>
        <w:topLinePunct w:val="0"/>
        <w:autoSpaceDE/>
        <w:autoSpaceDN/>
        <w:bidi w:val="0"/>
        <w:adjustRightInd w:val="0"/>
        <w:snapToGrid/>
        <w:spacing w:line="500" w:lineRule="exact"/>
        <w:ind w:firstLine="3520" w:firstLineChars="1100"/>
        <w:textAlignment w:val="auto"/>
        <w:rPr>
          <w:rFonts w:hint="eastAsia" w:ascii="仿宋" w:hAnsi="仿宋" w:eastAsia="仿宋" w:cs="仿宋"/>
          <w:kern w:val="0"/>
          <w:sz w:val="32"/>
          <w:szCs w:val="32"/>
        </w:rPr>
      </w:pPr>
      <w:r>
        <w:rPr>
          <w:rFonts w:hint="eastAsia" w:ascii="仿宋" w:hAnsi="仿宋" w:eastAsia="仿宋" w:cs="仿宋"/>
          <w:kern w:val="0"/>
          <w:sz w:val="32"/>
          <w:szCs w:val="32"/>
        </w:rPr>
        <w:t>湖南省职业教育与成人教育学会</w:t>
      </w:r>
    </w:p>
    <w:p w14:paraId="71AF0DA0">
      <w:pPr>
        <w:keepNext w:val="0"/>
        <w:keepLines w:val="0"/>
        <w:pageBreakBefore w:val="0"/>
        <w:widowControl w:val="0"/>
        <w:kinsoku/>
        <w:wordWrap/>
        <w:overflowPunct/>
        <w:topLinePunct w:val="0"/>
        <w:autoSpaceDE/>
        <w:autoSpaceDN/>
        <w:bidi w:val="0"/>
        <w:adjustRightInd w:val="0"/>
        <w:snapToGrid/>
        <w:spacing w:line="50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kern w:val="0"/>
          <w:sz w:val="32"/>
          <w:szCs w:val="32"/>
        </w:rPr>
        <w:t xml:space="preserve">                </w:t>
      </w:r>
      <w:r>
        <w:rPr>
          <w:rFonts w:hint="eastAsia" w:ascii="仿宋" w:hAnsi="仿宋" w:eastAsia="仿宋" w:cs="仿宋"/>
          <w:color w:val="000000"/>
          <w:kern w:val="0"/>
          <w:sz w:val="32"/>
          <w:szCs w:val="32"/>
        </w:rPr>
        <w:t xml:space="preserve"> 20</w:t>
      </w:r>
      <w:r>
        <w:rPr>
          <w:rFonts w:hint="eastAsia" w:ascii="仿宋" w:hAnsi="仿宋" w:eastAsia="仿宋" w:cs="仿宋"/>
          <w:color w:val="000000"/>
          <w:kern w:val="0"/>
          <w:sz w:val="32"/>
          <w:szCs w:val="32"/>
          <w:lang w:val="en-US" w:eastAsia="zh-CN"/>
        </w:rPr>
        <w:t>25</w:t>
      </w:r>
      <w:r>
        <w:rPr>
          <w:rFonts w:hint="eastAsia" w:ascii="仿宋" w:hAnsi="仿宋" w:eastAsia="仿宋" w:cs="仿宋"/>
          <w:color w:val="000000"/>
          <w:kern w:val="0"/>
          <w:sz w:val="32"/>
          <w:szCs w:val="32"/>
        </w:rPr>
        <w:t>年</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13</w:t>
      </w:r>
      <w:r>
        <w:rPr>
          <w:rFonts w:hint="eastAsia" w:ascii="仿宋" w:hAnsi="仿宋" w:eastAsia="仿宋" w:cs="仿宋"/>
          <w:color w:val="000000"/>
          <w:kern w:val="0"/>
          <w:sz w:val="32"/>
          <w:szCs w:val="32"/>
        </w:rPr>
        <w:t>日</w:t>
      </w:r>
    </w:p>
    <w:p w14:paraId="304F1BF9">
      <w:pPr>
        <w:rPr>
          <w:rFonts w:hint="default"/>
          <w:lang w:val="en-US" w:eastAsia="zh-CN"/>
        </w:rPr>
      </w:pPr>
      <w:r>
        <w:rPr>
          <w:rFonts w:hint="default" w:ascii="Times New Roman" w:hAnsi="Times New Roman" w:eastAsia="仿宋_GB2312" w:cs="Times New Roman"/>
          <w:bCs/>
          <w:kern w:val="0"/>
          <w:sz w:val="32"/>
          <w:szCs w:val="32"/>
        </w:rPr>
        <w:br w:type="page"/>
      </w:r>
    </w:p>
    <w:p w14:paraId="52C4A63A">
      <w:pPr>
        <w:keepNext w:val="0"/>
        <w:keepLines w:val="0"/>
        <w:pageBreakBefore w:val="0"/>
        <w:widowControl w:val="0"/>
        <w:kinsoku/>
        <w:overflowPunct/>
        <w:topLinePunct w:val="0"/>
        <w:bidi w:val="0"/>
        <w:adjustRightInd/>
        <w:spacing w:before="100" w:beforeAutospacing="1" w:after="100" w:afterAutospacing="1" w:line="360" w:lineRule="auto"/>
        <w:jc w:val="left"/>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bCs/>
          <w:kern w:val="0"/>
          <w:sz w:val="32"/>
          <w:szCs w:val="32"/>
        </w:rPr>
        <w:t>附件1：</w:t>
      </w:r>
    </w:p>
    <w:p w14:paraId="3C14CBD3">
      <w:pPr>
        <w:keepNext w:val="0"/>
        <w:keepLines w:val="0"/>
        <w:pageBreakBefore w:val="0"/>
        <w:widowControl w:val="0"/>
        <w:kinsoku/>
        <w:wordWrap/>
        <w:overflowPunct/>
        <w:topLinePunct w:val="0"/>
        <w:bidi w:val="0"/>
        <w:adjustRightInd/>
        <w:spacing w:line="600" w:lineRule="exact"/>
        <w:jc w:val="center"/>
        <w:textAlignment w:val="auto"/>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湖南省职业教育与成人教育优秀论文评选</w:t>
      </w:r>
    </w:p>
    <w:p w14:paraId="6724C41F">
      <w:pPr>
        <w:keepNext w:val="0"/>
        <w:keepLines w:val="0"/>
        <w:pageBreakBefore w:val="0"/>
        <w:widowControl w:val="0"/>
        <w:kinsoku/>
        <w:wordWrap/>
        <w:overflowPunct/>
        <w:topLinePunct w:val="0"/>
        <w:bidi w:val="0"/>
        <w:adjustRightInd/>
        <w:spacing w:line="600" w:lineRule="exact"/>
        <w:jc w:val="center"/>
        <w:textAlignment w:val="auto"/>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参评论文格式要求</w:t>
      </w:r>
    </w:p>
    <w:p w14:paraId="5C592C70">
      <w:pPr>
        <w:keepNext w:val="0"/>
        <w:keepLines w:val="0"/>
        <w:pageBreakBefore w:val="0"/>
        <w:widowControl w:val="0"/>
        <w:kinsoku/>
        <w:overflowPunct/>
        <w:topLinePunct w:val="0"/>
        <w:bidi w:val="0"/>
        <w:adjustRightInd/>
        <w:spacing w:line="360" w:lineRule="auto"/>
        <w:ind w:firstLine="600" w:firstLineChars="200"/>
        <w:jc w:val="left"/>
        <w:textAlignment w:val="auto"/>
        <w:rPr>
          <w:rFonts w:hint="default" w:ascii="Times New Roman" w:hAnsi="Times New Roman" w:eastAsia="仿宋_GB2312" w:cs="Times New Roman"/>
          <w:sz w:val="30"/>
          <w:szCs w:val="30"/>
        </w:rPr>
      </w:pPr>
    </w:p>
    <w:p w14:paraId="3561DD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一、标题</w:t>
      </w:r>
      <w:r>
        <w:rPr>
          <w:rFonts w:hint="default" w:ascii="Times New Roman" w:hAnsi="Times New Roman" w:eastAsia="仿宋_GB2312" w:cs="Times New Roman"/>
          <w:sz w:val="32"/>
          <w:szCs w:val="32"/>
        </w:rPr>
        <w:t>（标题用宋体三号加粗</w:t>
      </w:r>
      <w:r>
        <w:rPr>
          <w:rFonts w:hint="default" w:ascii="Times New Roman" w:hAnsi="Times New Roman" w:eastAsia="仿宋_GB2312" w:cs="Times New Roman"/>
          <w:sz w:val="32"/>
          <w:szCs w:val="32"/>
          <w:lang w:eastAsia="zh-CN"/>
        </w:rPr>
        <w:t>居中</w:t>
      </w:r>
      <w:r>
        <w:rPr>
          <w:rFonts w:hint="default" w:ascii="Times New Roman" w:hAnsi="Times New Roman" w:eastAsia="仿宋_GB2312" w:cs="Times New Roman"/>
          <w:sz w:val="32"/>
          <w:szCs w:val="32"/>
        </w:rPr>
        <w:t>）</w:t>
      </w:r>
    </w:p>
    <w:p w14:paraId="78EA06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中文标题力求简明、醒目，能准确反映出文章的主题，一般不超过20个汉字，必要时可加副标题，不用非公知公认的缩写或符号，尽量避免用英文缩写。</w:t>
      </w:r>
    </w:p>
    <w:p w14:paraId="23F26B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、正文</w:t>
      </w:r>
      <w:r>
        <w:rPr>
          <w:rFonts w:hint="default" w:ascii="Times New Roman" w:hAnsi="Times New Roman" w:eastAsia="仿宋_GB2312" w:cs="Times New Roman"/>
          <w:sz w:val="32"/>
          <w:szCs w:val="32"/>
        </w:rPr>
        <w:t>（正文</w:t>
      </w:r>
      <w:r>
        <w:rPr>
          <w:rFonts w:hint="default" w:ascii="Times New Roman" w:hAnsi="Times New Roman" w:eastAsia="仿宋_GB2312" w:cs="Times New Roman"/>
          <w:sz w:val="32"/>
          <w:szCs w:val="32"/>
          <w:lang w:eastAsia="zh-CN"/>
        </w:rPr>
        <w:t>内容中文</w:t>
      </w:r>
      <w:r>
        <w:rPr>
          <w:rFonts w:hint="default" w:ascii="Times New Roman" w:hAnsi="Times New Roman" w:eastAsia="仿宋_GB2312" w:cs="Times New Roman"/>
          <w:sz w:val="32"/>
          <w:szCs w:val="32"/>
        </w:rPr>
        <w:t>用</w:t>
      </w:r>
      <w:r>
        <w:rPr>
          <w:rFonts w:hint="default" w:ascii="Times New Roman" w:hAnsi="Times New Roman" w:eastAsia="仿宋_GB2312" w:cs="Times New Roman"/>
          <w:sz w:val="32"/>
          <w:szCs w:val="32"/>
          <w:lang w:eastAsia="zh-CN"/>
        </w:rPr>
        <w:t>仿宋</w:t>
      </w:r>
      <w:r>
        <w:rPr>
          <w:rFonts w:hint="default" w:ascii="Times New Roman" w:hAnsi="Times New Roman" w:eastAsia="仿宋_GB2312" w:cs="Times New Roman"/>
          <w:sz w:val="32"/>
          <w:szCs w:val="32"/>
        </w:rPr>
        <w:t>四号不加粗</w:t>
      </w:r>
      <w:r>
        <w:rPr>
          <w:rFonts w:hint="default" w:ascii="Times New Roman" w:hAnsi="Times New Roman" w:eastAsia="仿宋_GB2312" w:cs="Times New Roman"/>
          <w:sz w:val="32"/>
          <w:szCs w:val="32"/>
          <w:lang w:eastAsia="zh-CN"/>
        </w:rPr>
        <w:t>，英文用</w:t>
      </w:r>
      <w:r>
        <w:rPr>
          <w:rFonts w:hint="default" w:ascii="Times New Roman" w:hAnsi="Times New Roman" w:eastAsia="仿宋_GB2312" w:cs="Times New Roman"/>
          <w:sz w:val="32"/>
          <w:szCs w:val="32"/>
          <w:lang w:val="en-US" w:eastAsia="zh-CN"/>
        </w:rPr>
        <w:t>Times New Roman</w:t>
      </w:r>
      <w:r>
        <w:rPr>
          <w:rFonts w:hint="default" w:ascii="Times New Roman" w:hAnsi="Times New Roman" w:eastAsia="仿宋_GB2312" w:cs="Times New Roman"/>
          <w:sz w:val="32"/>
          <w:szCs w:val="32"/>
        </w:rPr>
        <w:t>四号不加粗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行距26磅</w:t>
      </w:r>
      <w:r>
        <w:rPr>
          <w:rFonts w:hint="default" w:ascii="Times New Roman" w:hAnsi="Times New Roman" w:eastAsia="仿宋_GB2312" w:cs="Times New Roman"/>
          <w:sz w:val="32"/>
          <w:szCs w:val="32"/>
        </w:rPr>
        <w:t>）</w:t>
      </w:r>
    </w:p>
    <w:p w14:paraId="3C04DC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正文内容要求论点明确，资料可靠，文字精炼，层次清楚，数据准确，具有学术性、创新性和实践性。字数（包括图、表）6000字以内。</w:t>
      </w:r>
    </w:p>
    <w:p w14:paraId="395CEC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三、摘要</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摘要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用[]黑体</w:t>
      </w:r>
      <w:r>
        <w:rPr>
          <w:rFonts w:hint="default" w:ascii="Times New Roman" w:hAnsi="Times New Roman" w:eastAsia="仿宋_GB2312" w:cs="Times New Roman"/>
          <w:sz w:val="32"/>
          <w:szCs w:val="32"/>
          <w:lang w:eastAsia="zh-CN"/>
        </w:rPr>
        <w:t>小四</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eastAsia="zh-CN"/>
        </w:rPr>
        <w:t>不加粗</w:t>
      </w:r>
      <w:r>
        <w:rPr>
          <w:rFonts w:hint="default" w:ascii="Times New Roman" w:hAnsi="Times New Roman" w:eastAsia="仿宋_GB2312" w:cs="Times New Roman"/>
          <w:sz w:val="32"/>
          <w:szCs w:val="32"/>
        </w:rPr>
        <w:t>，摘要内容用</w:t>
      </w:r>
      <w:r>
        <w:rPr>
          <w:rFonts w:hint="default" w:ascii="Times New Roman" w:hAnsi="Times New Roman" w:eastAsia="仿宋_GB2312" w:cs="Times New Roman"/>
          <w:sz w:val="32"/>
          <w:szCs w:val="32"/>
          <w:lang w:eastAsia="zh-CN"/>
        </w:rPr>
        <w:t>楷体小四</w:t>
      </w:r>
      <w:r>
        <w:rPr>
          <w:rFonts w:hint="default" w:ascii="Times New Roman" w:hAnsi="Times New Roman" w:eastAsia="仿宋_GB2312" w:cs="Times New Roman"/>
          <w:sz w:val="32"/>
          <w:szCs w:val="32"/>
        </w:rPr>
        <w:t>不加粗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行距22磅</w:t>
      </w:r>
      <w:r>
        <w:rPr>
          <w:rFonts w:hint="default" w:ascii="Times New Roman" w:hAnsi="Times New Roman" w:eastAsia="仿宋_GB2312" w:cs="Times New Roman"/>
          <w:sz w:val="32"/>
          <w:szCs w:val="32"/>
        </w:rPr>
        <w:t>）</w:t>
      </w:r>
    </w:p>
    <w:p w14:paraId="4C84ED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概括陈述论文研究的背景、目的、方法和主要结论，要求客观反映出论文的主要信息。不要把应在引言中出现的内容写入摘要；不要对论文内容作诠释和评论(尤其是自我评价)；不要用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文章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作者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笔者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等作为主语。非公知公认的符号或术语第一次出现时应写全称。字数不少于200字。</w:t>
      </w:r>
    </w:p>
    <w:p w14:paraId="56AF6B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四、关键词</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关键词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用[]黑体</w:t>
      </w:r>
      <w:r>
        <w:rPr>
          <w:rFonts w:hint="default" w:ascii="Times New Roman" w:hAnsi="Times New Roman" w:eastAsia="仿宋_GB2312" w:cs="Times New Roman"/>
          <w:sz w:val="32"/>
          <w:szCs w:val="32"/>
          <w:lang w:eastAsia="zh-CN"/>
        </w:rPr>
        <w:t>小四</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eastAsia="zh-CN"/>
        </w:rPr>
        <w:t>不加粗</w:t>
      </w:r>
      <w:r>
        <w:rPr>
          <w:rFonts w:hint="default" w:ascii="Times New Roman" w:hAnsi="Times New Roman" w:eastAsia="仿宋_GB2312" w:cs="Times New Roman"/>
          <w:sz w:val="32"/>
          <w:szCs w:val="32"/>
        </w:rPr>
        <w:t>，关键词内容用</w:t>
      </w:r>
      <w:r>
        <w:rPr>
          <w:rFonts w:hint="default" w:ascii="Times New Roman" w:hAnsi="Times New Roman" w:eastAsia="仿宋_GB2312" w:cs="Times New Roman"/>
          <w:sz w:val="32"/>
          <w:szCs w:val="32"/>
          <w:lang w:eastAsia="zh-CN"/>
        </w:rPr>
        <w:t>楷体小四</w:t>
      </w:r>
      <w:r>
        <w:rPr>
          <w:rFonts w:hint="default" w:ascii="Times New Roman" w:hAnsi="Times New Roman" w:eastAsia="仿宋_GB2312" w:cs="Times New Roman"/>
          <w:sz w:val="32"/>
          <w:szCs w:val="32"/>
        </w:rPr>
        <w:t>号不加粗）</w:t>
      </w:r>
    </w:p>
    <w:p w14:paraId="28EF00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一般每篇文章可选 3-5个关键词，用全称。关键词为反映文章最主要内容、对文献检索有重要作用的术语，多个关键词之间以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隔开。</w:t>
      </w:r>
    </w:p>
    <w:p w14:paraId="3CC2B1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五、图表</w:t>
      </w:r>
      <w:r>
        <w:rPr>
          <w:rFonts w:hint="eastAsia" w:ascii="Times New Roman" w:hAnsi="Times New Roman" w:eastAsia="仿宋_GB2312" w:cs="Times New Roman"/>
          <w:sz w:val="32"/>
          <w:szCs w:val="32"/>
          <w:lang w:eastAsia="zh-CN"/>
        </w:rPr>
        <w:t>（图表标题用黑体小四不加粗）</w:t>
      </w:r>
    </w:p>
    <w:p w14:paraId="516DA6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文中插图与表格放在相应正文之后，分别按出现顺序用图1、图2……或表1、表2……统一编号。插图的序号、标题及注释居中置于图的下方，表格的序号及标题置于表格上方，表注置于表格的下方。全文只有一个表或一个图时，只标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，不标序号。</w:t>
      </w:r>
    </w:p>
    <w:p w14:paraId="73B5ED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六、章节标题编号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一级标题用黑体四号不加粗，二级</w:t>
      </w:r>
      <w:r>
        <w:rPr>
          <w:rFonts w:hint="eastAsia" w:ascii="Times New Roman" w:hAnsi="Times New Roman" w:eastAsia="仿宋_GB2312" w:cs="Times New Roman"/>
          <w:sz w:val="32"/>
          <w:szCs w:val="32"/>
          <w:lang w:eastAsia="zh-CN"/>
        </w:rPr>
        <w:t>及以下</w:t>
      </w:r>
      <w:r>
        <w:rPr>
          <w:rFonts w:hint="default" w:ascii="Times New Roman" w:hAnsi="Times New Roman" w:eastAsia="仿宋_GB2312" w:cs="Times New Roman"/>
          <w:sz w:val="32"/>
          <w:szCs w:val="32"/>
          <w:lang w:eastAsia="zh-CN"/>
        </w:rPr>
        <w:t>标题用仿宋四号加粗</w:t>
      </w:r>
      <w:r>
        <w:rPr>
          <w:rFonts w:hint="eastAsia" w:ascii="Times New Roman" w:hAnsi="Times New Roman" w:eastAsia="仿宋_GB2312" w:cs="Times New Roman"/>
          <w:sz w:val="32"/>
          <w:szCs w:val="32"/>
          <w:lang w:eastAsia="zh-CN"/>
        </w:rPr>
        <w:t>）</w:t>
      </w:r>
    </w:p>
    <w:p w14:paraId="3155FA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一级标题用一、二、三……；</w:t>
      </w:r>
    </w:p>
    <w:p w14:paraId="2DDC6F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二级标题用（一）（二）（三）……；</w:t>
      </w:r>
    </w:p>
    <w:p w14:paraId="0CFA0D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三级标题用阿拉伯数字编号1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w:t>
      </w:r>
    </w:p>
    <w:p w14:paraId="6154C2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四级标题用（1）（2）（3）……。</w:t>
      </w:r>
    </w:p>
    <w:p w14:paraId="1E3726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七、参考文献</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参考文献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用黑体</w:t>
      </w:r>
      <w:r>
        <w:rPr>
          <w:rFonts w:hint="default" w:ascii="Times New Roman" w:hAnsi="Times New Roman" w:eastAsia="仿宋_GB2312" w:cs="Times New Roman"/>
          <w:sz w:val="32"/>
          <w:szCs w:val="32"/>
          <w:lang w:eastAsia="zh-CN"/>
        </w:rPr>
        <w:t>小四</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eastAsia="zh-CN"/>
        </w:rPr>
        <w:t>不加粗</w:t>
      </w:r>
      <w:r>
        <w:rPr>
          <w:rFonts w:hint="default" w:ascii="Times New Roman" w:hAnsi="Times New Roman" w:eastAsia="仿宋_GB2312" w:cs="Times New Roman"/>
          <w:sz w:val="32"/>
          <w:szCs w:val="32"/>
        </w:rPr>
        <w:t>，参考文献内容用</w:t>
      </w:r>
      <w:r>
        <w:rPr>
          <w:rFonts w:hint="default" w:ascii="Times New Roman" w:hAnsi="Times New Roman" w:eastAsia="仿宋_GB2312" w:cs="Times New Roman"/>
          <w:sz w:val="32"/>
          <w:szCs w:val="32"/>
          <w:lang w:eastAsia="zh-CN"/>
        </w:rPr>
        <w:t>楷体小四</w:t>
      </w:r>
      <w:r>
        <w:rPr>
          <w:rFonts w:hint="default" w:ascii="Times New Roman" w:hAnsi="Times New Roman" w:eastAsia="仿宋_GB2312" w:cs="Times New Roman"/>
          <w:sz w:val="32"/>
          <w:szCs w:val="32"/>
        </w:rPr>
        <w:t>号不加粗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行距22磅</w:t>
      </w:r>
      <w:r>
        <w:rPr>
          <w:rFonts w:hint="default" w:ascii="Times New Roman" w:hAnsi="Times New Roman" w:eastAsia="仿宋_GB2312" w:cs="Times New Roman"/>
          <w:sz w:val="32"/>
          <w:szCs w:val="32"/>
        </w:rPr>
        <w:t>）</w:t>
      </w:r>
    </w:p>
    <w:p w14:paraId="0300BB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参考文献应依照引用的先后顺序标出，根据文献类型与文献载体代码（GB 3469）规定，以单字母方式标识以下各种参考文献类型：</w:t>
      </w:r>
    </w:p>
    <w:p w14:paraId="7CA4BD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专著[M]、论文集[C]、报纸文章[N]、期刊文章[J]、学位论文[D]、报告[R]、标准[S]、专利[P]、网上电子公告[EB/OL]、网上期刊[J/OL]、网上报纸文章[N/OL]、其他未说明的文献类型[Z]。 </w:t>
      </w:r>
    </w:p>
    <w:p w14:paraId="492F1E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（1）引用专著的：作者姓名.书名[M].出版地：出版者，出版年.起止页码.如，[1]xxx.xxxxxxxx[M].北京：高等教育出版社，2012.121-123. </w:t>
      </w:r>
    </w:p>
    <w:p w14:paraId="34E7A8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（2）引用期刊文章的：作者姓名.文章名[J].刊名，年，卷（期）：起止页码.如，[1]xxx.xxxxxxxx [J].教育研究，2010（2）：22-27.</w:t>
      </w:r>
    </w:p>
    <w:p w14:paraId="382AC7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（3）引用学位论文的：作者姓名.题名[D].授予学位地：授予学位单位，出版年.如，[1]xxx.xxxxxxxx [D].长沙：湖南师范大学，2011.</w:t>
      </w:r>
    </w:p>
    <w:p w14:paraId="2810DE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（4）引用电子文献的：主要责任者.文献题名.文献类型标识.获取和访问路径.发表日期，如：[1] xxx.xxxxxxxx [EB/OL].http://www.gov.cn/gongbao/content/2002/content_61930.htm.2001-03-16.</w:t>
      </w:r>
    </w:p>
    <w:p w14:paraId="08C989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（5）引用其它文献的依此类推。</w:t>
      </w:r>
    </w:p>
    <w:p w14:paraId="73F9AF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八、基金项目</w:t>
      </w:r>
    </w:p>
    <w:p w14:paraId="338199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属于基金资助项目或立项课题的来稿，请注明项目或课题名称、编号，多项基金项目应依次列出。</w:t>
      </w:r>
    </w:p>
    <w:p w14:paraId="35637F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九、论文页码</w:t>
      </w:r>
    </w:p>
    <w:p w14:paraId="6E347C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sectPr>
          <w:headerReference r:id="rId4" w:type="first"/>
          <w:headerReference r:id="rId3" w:type="default"/>
          <w:footerReference r:id="rId5" w:type="default"/>
          <w:footerReference r:id="rId6" w:type="even"/>
          <w:pgSz w:w="11906" w:h="16838"/>
          <w:pgMar w:top="1134" w:right="1418" w:bottom="1134" w:left="1418" w:header="851" w:footer="992" w:gutter="0"/>
          <w:cols w:space="720" w:num="1"/>
          <w:docGrid w:type="lines" w:linePitch="312" w:charSpace="0"/>
        </w:sectPr>
      </w:pPr>
      <w:r>
        <w:rPr>
          <w:rFonts w:hint="default" w:ascii="Times New Roman" w:hAnsi="Times New Roman" w:eastAsia="仿宋_GB2312" w:cs="Times New Roman"/>
          <w:sz w:val="32"/>
          <w:szCs w:val="32"/>
        </w:rPr>
        <w:t>论文每页居中标明页码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第1页，第2页，……</w:t>
      </w:r>
      <w:r>
        <w:rPr>
          <w:rFonts w:hint="default" w:ascii="Times New Roman" w:hAnsi="Times New Roman" w:eastAsia="仿宋_GB2312" w:cs="Times New Roman"/>
          <w:sz w:val="32"/>
          <w:szCs w:val="32"/>
          <w:lang w:eastAsia="zh-CN"/>
        </w:rPr>
        <w:t>”</w:t>
      </w:r>
    </w:p>
    <w:p w14:paraId="37B3C713">
      <w:pPr>
        <w:keepNext w:val="0"/>
        <w:keepLines w:val="0"/>
        <w:pageBreakBefore w:val="0"/>
        <w:widowControl w:val="0"/>
        <w:kinsoku/>
        <w:wordWrap/>
        <w:overflowPunct/>
        <w:topLinePunct w:val="0"/>
        <w:autoSpaceDE/>
        <w:autoSpaceDN/>
        <w:bidi w:val="0"/>
        <w:adjustRightInd/>
        <w:snapToGrid/>
        <w:spacing w:before="120" w:beforeLines="50" w:after="120" w:afterLines="50" w:line="600" w:lineRule="exact"/>
        <w:jc w:val="left"/>
        <w:textAlignment w:val="auto"/>
        <w:rPr>
          <w:rFonts w:hint="default" w:ascii="黑体" w:hAnsi="黑体" w:eastAsia="黑体" w:cs="黑体"/>
          <w:bCs/>
          <w:kern w:val="0"/>
          <w:sz w:val="32"/>
          <w:szCs w:val="32"/>
        </w:rPr>
      </w:pPr>
      <w:r>
        <w:rPr>
          <w:rFonts w:hint="default" w:ascii="黑体" w:hAnsi="黑体" w:eastAsia="黑体" w:cs="黑体"/>
          <w:bCs/>
          <w:kern w:val="0"/>
          <w:sz w:val="32"/>
          <w:szCs w:val="32"/>
        </w:rPr>
        <w:t>附件2:</w:t>
      </w:r>
    </w:p>
    <w:p w14:paraId="6CAF137F">
      <w:pPr>
        <w:keepNext w:val="0"/>
        <w:keepLines w:val="0"/>
        <w:pageBreakBefore w:val="0"/>
        <w:widowControl w:val="0"/>
        <w:kinsoku/>
        <w:overflowPunct/>
        <w:topLinePunct w:val="0"/>
        <w:bidi w:val="0"/>
        <w:adjustRightInd/>
        <w:spacing w:line="500" w:lineRule="exact"/>
        <w:jc w:val="left"/>
        <w:textAlignment w:val="auto"/>
        <w:rPr>
          <w:rFonts w:hint="default" w:ascii="Times New Roman" w:hAnsi="Times New Roman" w:cs="Times New Roman"/>
          <w:kern w:val="0"/>
          <w:sz w:val="32"/>
          <w:szCs w:val="32"/>
        </w:rPr>
      </w:pPr>
      <w:r>
        <w:rPr>
          <w:rFonts w:hint="default" w:ascii="Times New Roman" w:hAnsi="Times New Roman" w:eastAsia="仿宋_GB2312" w:cs="Times New Roman"/>
          <w:b/>
          <w:bCs/>
          <w:kern w:val="0"/>
          <w:sz w:val="32"/>
          <w:szCs w:val="32"/>
        </w:rPr>
        <w:t>论文编号</w:t>
      </w:r>
      <w:r>
        <w:rPr>
          <w:rFonts w:hint="default" w:ascii="Times New Roman" w:hAnsi="Times New Roman" w:eastAsia="仿宋_GB2312" w:cs="Times New Roman"/>
          <w:b/>
          <w:bCs/>
          <w:kern w:val="0"/>
          <w:sz w:val="32"/>
          <w:szCs w:val="32"/>
          <w:u w:val="single"/>
        </w:rPr>
        <w:t xml:space="preserve">           </w:t>
      </w:r>
      <w:r>
        <w:rPr>
          <w:rFonts w:hint="default" w:ascii="Times New Roman" w:hAnsi="Times New Roman" w:eastAsia="仿宋_GB2312" w:cs="Times New Roman"/>
          <w:bCs/>
          <w:kern w:val="0"/>
          <w:sz w:val="32"/>
          <w:szCs w:val="32"/>
        </w:rPr>
        <w:t>（由省评审办公室填写）</w:t>
      </w:r>
    </w:p>
    <w:p w14:paraId="728ABFF5">
      <w:pPr>
        <w:keepNext w:val="0"/>
        <w:keepLines w:val="0"/>
        <w:pageBreakBefore w:val="0"/>
        <w:widowControl w:val="0"/>
        <w:kinsoku/>
        <w:overflowPunct/>
        <w:topLinePunct w:val="0"/>
        <w:bidi w:val="0"/>
        <w:adjustRightInd/>
        <w:spacing w:before="120" w:beforeLines="50" w:line="500" w:lineRule="exact"/>
        <w:jc w:val="center"/>
        <w:textAlignment w:val="auto"/>
        <w:rPr>
          <w:rFonts w:hint="default" w:ascii="Times New Roman" w:hAnsi="Times New Roman" w:cs="Times New Roman"/>
          <w:b/>
          <w:kern w:val="0"/>
          <w:sz w:val="40"/>
          <w:szCs w:val="40"/>
        </w:rPr>
      </w:pPr>
      <w:r>
        <w:rPr>
          <w:rFonts w:hint="default" w:ascii="Times New Roman" w:hAnsi="Times New Roman" w:cs="Times New Roman"/>
          <w:b/>
          <w:kern w:val="0"/>
          <w:sz w:val="40"/>
          <w:szCs w:val="40"/>
        </w:rPr>
        <w:t>20</w:t>
      </w:r>
      <w:r>
        <w:rPr>
          <w:rFonts w:hint="default" w:ascii="Times New Roman" w:hAnsi="Times New Roman" w:cs="Times New Roman"/>
          <w:b/>
          <w:kern w:val="0"/>
          <w:sz w:val="40"/>
          <w:szCs w:val="40"/>
          <w:lang w:val="en-US" w:eastAsia="zh-CN"/>
        </w:rPr>
        <w:t>2</w:t>
      </w:r>
      <w:r>
        <w:rPr>
          <w:rFonts w:hint="eastAsia" w:cs="Times New Roman"/>
          <w:b/>
          <w:kern w:val="0"/>
          <w:sz w:val="40"/>
          <w:szCs w:val="40"/>
          <w:lang w:val="en-US" w:eastAsia="zh-CN"/>
        </w:rPr>
        <w:t>5</w:t>
      </w:r>
      <w:r>
        <w:rPr>
          <w:rFonts w:hint="default" w:ascii="Times New Roman" w:hAnsi="Times New Roman" w:cs="Times New Roman"/>
          <w:b/>
          <w:kern w:val="0"/>
          <w:sz w:val="40"/>
          <w:szCs w:val="40"/>
        </w:rPr>
        <w:t>年湖南省职业教育与成人教育优秀论文评选</w:t>
      </w:r>
    </w:p>
    <w:p w14:paraId="5257E338">
      <w:pPr>
        <w:keepNext w:val="0"/>
        <w:keepLines w:val="0"/>
        <w:pageBreakBefore w:val="0"/>
        <w:widowControl w:val="0"/>
        <w:kinsoku/>
        <w:overflowPunct/>
        <w:topLinePunct w:val="0"/>
        <w:bidi w:val="0"/>
        <w:adjustRightInd/>
        <w:spacing w:before="120" w:beforeLines="50" w:line="500" w:lineRule="exact"/>
        <w:jc w:val="center"/>
        <w:textAlignment w:val="auto"/>
        <w:rPr>
          <w:rFonts w:hint="default" w:ascii="Times New Roman" w:hAnsi="Times New Roman" w:cs="Times New Roman"/>
          <w:kern w:val="0"/>
          <w:sz w:val="40"/>
          <w:szCs w:val="40"/>
        </w:rPr>
      </w:pPr>
      <w:r>
        <w:rPr>
          <w:rFonts w:hint="default" w:ascii="Times New Roman" w:hAnsi="Times New Roman" w:cs="Times New Roman"/>
          <w:b/>
          <w:kern w:val="0"/>
          <w:sz w:val="40"/>
          <w:szCs w:val="40"/>
        </w:rPr>
        <w:t>参评申报表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2801"/>
        <w:gridCol w:w="1568"/>
        <w:gridCol w:w="3048"/>
      </w:tblGrid>
      <w:tr w14:paraId="60EB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14:paraId="5B87D97A">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论文题目</w:t>
            </w:r>
          </w:p>
        </w:tc>
        <w:tc>
          <w:tcPr>
            <w:tcW w:w="7417" w:type="dxa"/>
            <w:gridSpan w:val="3"/>
            <w:tcBorders>
              <w:top w:val="single" w:color="auto" w:sz="4" w:space="0"/>
              <w:left w:val="single" w:color="auto" w:sz="4" w:space="0"/>
              <w:bottom w:val="single" w:color="auto" w:sz="4" w:space="0"/>
              <w:right w:val="single" w:color="auto" w:sz="4" w:space="0"/>
            </w:tcBorders>
            <w:noWrap w:val="0"/>
            <w:vAlign w:val="center"/>
          </w:tcPr>
          <w:p w14:paraId="7A433B7A">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 </w:t>
            </w:r>
          </w:p>
        </w:tc>
      </w:tr>
      <w:tr w14:paraId="42C2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14:paraId="2CCAAEBB">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作者姓名</w:t>
            </w:r>
          </w:p>
        </w:tc>
        <w:tc>
          <w:tcPr>
            <w:tcW w:w="2801" w:type="dxa"/>
            <w:tcBorders>
              <w:top w:val="single" w:color="auto" w:sz="4" w:space="0"/>
              <w:left w:val="single" w:color="auto" w:sz="4" w:space="0"/>
              <w:bottom w:val="single" w:color="auto" w:sz="4" w:space="0"/>
              <w:right w:val="single" w:color="auto" w:sz="4" w:space="0"/>
            </w:tcBorders>
            <w:noWrap w:val="0"/>
            <w:vAlign w:val="center"/>
          </w:tcPr>
          <w:p w14:paraId="2202A64A">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 </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626C54F2">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作者电话</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3E125A35">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 </w:t>
            </w:r>
          </w:p>
        </w:tc>
      </w:tr>
      <w:tr w14:paraId="69FE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14:paraId="5F4CDB41">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作者单位</w:t>
            </w:r>
          </w:p>
        </w:tc>
        <w:tc>
          <w:tcPr>
            <w:tcW w:w="2801" w:type="dxa"/>
            <w:tcBorders>
              <w:top w:val="single" w:color="auto" w:sz="4" w:space="0"/>
              <w:left w:val="single" w:color="auto" w:sz="4" w:space="0"/>
              <w:bottom w:val="single" w:color="auto" w:sz="4" w:space="0"/>
              <w:right w:val="single" w:color="auto" w:sz="4" w:space="0"/>
            </w:tcBorders>
            <w:noWrap w:val="0"/>
            <w:vAlign w:val="center"/>
          </w:tcPr>
          <w:p w14:paraId="55EB58BA">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 </w:t>
            </w:r>
          </w:p>
        </w:tc>
        <w:tc>
          <w:tcPr>
            <w:tcW w:w="1568" w:type="dxa"/>
            <w:tcBorders>
              <w:top w:val="single" w:color="auto" w:sz="4" w:space="0"/>
              <w:left w:val="single" w:color="auto" w:sz="4" w:space="0"/>
              <w:bottom w:val="single" w:color="auto" w:sz="4" w:space="0"/>
              <w:right w:val="single" w:color="auto" w:sz="4" w:space="0"/>
            </w:tcBorders>
            <w:noWrap w:val="0"/>
            <w:vAlign w:val="center"/>
          </w:tcPr>
          <w:p w14:paraId="23194216">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单位电话</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3CAF8BA6">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 </w:t>
            </w:r>
          </w:p>
        </w:tc>
      </w:tr>
      <w:tr w14:paraId="026D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14:paraId="1F328590">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联系地址</w:t>
            </w:r>
          </w:p>
        </w:tc>
        <w:tc>
          <w:tcPr>
            <w:tcW w:w="7417" w:type="dxa"/>
            <w:gridSpan w:val="3"/>
            <w:tcBorders>
              <w:top w:val="single" w:color="auto" w:sz="4" w:space="0"/>
              <w:left w:val="single" w:color="auto" w:sz="4" w:space="0"/>
              <w:bottom w:val="single" w:color="auto" w:sz="4" w:space="0"/>
              <w:right w:val="single" w:color="auto" w:sz="4" w:space="0"/>
            </w:tcBorders>
            <w:noWrap w:val="0"/>
            <w:vAlign w:val="center"/>
          </w:tcPr>
          <w:p w14:paraId="5EC222F1">
            <w:pPr>
              <w:keepNext w:val="0"/>
              <w:keepLines w:val="0"/>
              <w:pageBreakBefore w:val="0"/>
              <w:widowControl w:val="0"/>
              <w:kinsoku/>
              <w:overflowPunct/>
              <w:topLinePunct w:val="0"/>
              <w:bidi w:val="0"/>
              <w:adjustRightInd/>
              <w:spacing w:line="360" w:lineRule="exact"/>
              <w:jc w:val="center"/>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 </w:t>
            </w:r>
          </w:p>
        </w:tc>
      </w:tr>
      <w:tr w14:paraId="77CE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6" w:hRule="atLeast"/>
          <w:jc w:val="center"/>
        </w:trPr>
        <w:tc>
          <w:tcPr>
            <w:tcW w:w="9099" w:type="dxa"/>
            <w:gridSpan w:val="4"/>
            <w:tcBorders>
              <w:top w:val="single" w:color="auto" w:sz="4" w:space="0"/>
              <w:left w:val="single" w:color="auto" w:sz="4" w:space="0"/>
              <w:bottom w:val="single" w:color="auto" w:sz="4" w:space="0"/>
              <w:right w:val="single" w:color="auto" w:sz="4" w:space="0"/>
            </w:tcBorders>
            <w:noWrap w:val="0"/>
            <w:vAlign w:val="center"/>
          </w:tcPr>
          <w:p w14:paraId="4121615A">
            <w:pPr>
              <w:keepNext w:val="0"/>
              <w:keepLines w:val="0"/>
              <w:pageBreakBefore w:val="0"/>
              <w:widowControl w:val="0"/>
              <w:kinsoku/>
              <w:overflowPunct/>
              <w:topLinePunct w:val="0"/>
              <w:bidi w:val="0"/>
              <w:adjustRightInd/>
              <w:spacing w:before="120" w:beforeLines="50" w:line="360" w:lineRule="exact"/>
              <w:jc w:val="left"/>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所在单位意见</w:t>
            </w:r>
          </w:p>
          <w:p w14:paraId="71397D44">
            <w:pPr>
              <w:keepNext w:val="0"/>
              <w:keepLines w:val="0"/>
              <w:pageBreakBefore w:val="0"/>
              <w:widowControl w:val="0"/>
              <w:kinsoku/>
              <w:overflowPunct/>
              <w:topLinePunct w:val="0"/>
              <w:bidi w:val="0"/>
              <w:adjustRightInd/>
              <w:spacing w:line="360" w:lineRule="exact"/>
              <w:jc w:val="left"/>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 </w:t>
            </w:r>
          </w:p>
          <w:p w14:paraId="1815DBE6">
            <w:pPr>
              <w:keepNext w:val="0"/>
              <w:keepLines w:val="0"/>
              <w:pageBreakBefore w:val="0"/>
              <w:widowControl w:val="0"/>
              <w:kinsoku/>
              <w:overflowPunct/>
              <w:topLinePunct w:val="0"/>
              <w:bidi w:val="0"/>
              <w:adjustRightInd/>
              <w:spacing w:line="360" w:lineRule="exact"/>
              <w:jc w:val="left"/>
              <w:textAlignment w:val="auto"/>
              <w:rPr>
                <w:rFonts w:hint="default" w:ascii="Times New Roman" w:hAnsi="Times New Roman" w:eastAsia="仿宋_GB2312" w:cs="Times New Roman"/>
                <w:kern w:val="0"/>
                <w:sz w:val="28"/>
              </w:rPr>
            </w:pPr>
            <w:r>
              <w:rPr>
                <w:rFonts w:hint="default" w:ascii="Times New Roman" w:hAnsi="Times New Roman" w:eastAsia="仿宋_GB2312" w:cs="Times New Roman"/>
                <w:kern w:val="0"/>
                <w:sz w:val="28"/>
              </w:rPr>
              <w:t>  </w:t>
            </w:r>
          </w:p>
          <w:p w14:paraId="696C1236">
            <w:pPr>
              <w:pStyle w:val="4"/>
              <w:numPr>
                <w:ilvl w:val="5"/>
                <w:numId w:val="0"/>
              </w:numPr>
              <w:ind w:left="402" w:leftChars="0"/>
              <w:rPr>
                <w:rFonts w:hint="default"/>
              </w:rPr>
            </w:pPr>
          </w:p>
          <w:p w14:paraId="58E1C14D">
            <w:pPr>
              <w:rPr>
                <w:rFonts w:hint="default"/>
              </w:rPr>
            </w:pPr>
          </w:p>
          <w:p w14:paraId="2BC321D6">
            <w:pPr>
              <w:keepNext w:val="0"/>
              <w:keepLines w:val="0"/>
              <w:pageBreakBefore w:val="0"/>
              <w:widowControl w:val="0"/>
              <w:kinsoku/>
              <w:overflowPunct/>
              <w:topLinePunct w:val="0"/>
              <w:bidi w:val="0"/>
              <w:adjustRightInd/>
              <w:spacing w:line="360" w:lineRule="exact"/>
              <w:jc w:val="right"/>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u w:val="single"/>
              </w:rPr>
              <w:t xml:space="preserve">            </w:t>
            </w:r>
            <w:r>
              <w:rPr>
                <w:rFonts w:hint="default" w:ascii="Times New Roman" w:hAnsi="Times New Roman" w:eastAsia="仿宋_GB2312" w:cs="Times New Roman"/>
                <w:kern w:val="0"/>
                <w:sz w:val="28"/>
              </w:rPr>
              <w:t>（盖章）</w:t>
            </w:r>
          </w:p>
          <w:p w14:paraId="52D714E0">
            <w:pPr>
              <w:keepNext w:val="0"/>
              <w:keepLines w:val="0"/>
              <w:pageBreakBefore w:val="0"/>
              <w:widowControl w:val="0"/>
              <w:kinsoku/>
              <w:overflowPunct/>
              <w:topLinePunct w:val="0"/>
              <w:bidi w:val="0"/>
              <w:adjustRightInd/>
              <w:spacing w:line="360" w:lineRule="exact"/>
              <w:jc w:val="right"/>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 </w:t>
            </w:r>
          </w:p>
        </w:tc>
      </w:tr>
      <w:tr w14:paraId="67D3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6" w:hRule="atLeast"/>
          <w:jc w:val="center"/>
        </w:trPr>
        <w:tc>
          <w:tcPr>
            <w:tcW w:w="9099" w:type="dxa"/>
            <w:gridSpan w:val="4"/>
            <w:tcBorders>
              <w:top w:val="single" w:color="auto" w:sz="4" w:space="0"/>
              <w:left w:val="single" w:color="auto" w:sz="4" w:space="0"/>
              <w:bottom w:val="single" w:color="auto" w:sz="4" w:space="0"/>
              <w:right w:val="single" w:color="auto" w:sz="4" w:space="0"/>
            </w:tcBorders>
            <w:noWrap w:val="0"/>
            <w:vAlign w:val="center"/>
          </w:tcPr>
          <w:p w14:paraId="0177DD21">
            <w:pPr>
              <w:keepNext w:val="0"/>
              <w:keepLines w:val="0"/>
              <w:pageBreakBefore w:val="0"/>
              <w:widowControl w:val="0"/>
              <w:kinsoku/>
              <w:overflowPunct/>
              <w:topLinePunct w:val="0"/>
              <w:bidi w:val="0"/>
              <w:adjustRightInd/>
              <w:spacing w:before="120" w:beforeLines="50" w:line="360" w:lineRule="exact"/>
              <w:jc w:val="left"/>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评审办公室意见</w:t>
            </w:r>
          </w:p>
          <w:p w14:paraId="34C3AF27">
            <w:pPr>
              <w:keepNext w:val="0"/>
              <w:keepLines w:val="0"/>
              <w:pageBreakBefore w:val="0"/>
              <w:widowControl w:val="0"/>
              <w:kinsoku/>
              <w:overflowPunct/>
              <w:topLinePunct w:val="0"/>
              <w:bidi w:val="0"/>
              <w:adjustRightInd/>
              <w:spacing w:line="360" w:lineRule="exact"/>
              <w:ind w:firstLine="5600" w:firstLineChars="2000"/>
              <w:jc w:val="left"/>
              <w:textAlignment w:val="auto"/>
              <w:rPr>
                <w:rFonts w:hint="default" w:ascii="Times New Roman" w:hAnsi="Times New Roman" w:eastAsia="仿宋_GB2312" w:cs="Times New Roman"/>
                <w:kern w:val="0"/>
                <w:sz w:val="28"/>
              </w:rPr>
            </w:pPr>
          </w:p>
          <w:p w14:paraId="30617F39">
            <w:pPr>
              <w:keepNext w:val="0"/>
              <w:keepLines w:val="0"/>
              <w:pageBreakBefore w:val="0"/>
              <w:widowControl w:val="0"/>
              <w:kinsoku/>
              <w:overflowPunct/>
              <w:topLinePunct w:val="0"/>
              <w:bidi w:val="0"/>
              <w:adjustRightInd/>
              <w:spacing w:line="360" w:lineRule="exact"/>
              <w:ind w:firstLine="5600" w:firstLineChars="2000"/>
              <w:jc w:val="left"/>
              <w:textAlignment w:val="auto"/>
              <w:rPr>
                <w:rFonts w:hint="default" w:ascii="Times New Roman" w:hAnsi="Times New Roman" w:eastAsia="仿宋_GB2312" w:cs="Times New Roman"/>
                <w:kern w:val="0"/>
                <w:sz w:val="28"/>
              </w:rPr>
            </w:pPr>
          </w:p>
          <w:p w14:paraId="03A09E55">
            <w:pPr>
              <w:keepNext w:val="0"/>
              <w:keepLines w:val="0"/>
              <w:pageBreakBefore w:val="0"/>
              <w:widowControl w:val="0"/>
              <w:kinsoku/>
              <w:overflowPunct/>
              <w:topLinePunct w:val="0"/>
              <w:bidi w:val="0"/>
              <w:adjustRightInd/>
              <w:spacing w:line="360" w:lineRule="exact"/>
              <w:ind w:firstLine="5600" w:firstLineChars="2000"/>
              <w:jc w:val="left"/>
              <w:textAlignment w:val="auto"/>
              <w:rPr>
                <w:rFonts w:hint="default" w:ascii="Times New Roman" w:hAnsi="Times New Roman" w:eastAsia="仿宋_GB2312" w:cs="Times New Roman"/>
                <w:kern w:val="0"/>
                <w:sz w:val="28"/>
              </w:rPr>
            </w:pPr>
          </w:p>
          <w:p w14:paraId="3F622BFC">
            <w:pPr>
              <w:keepNext w:val="0"/>
              <w:keepLines w:val="0"/>
              <w:pageBreakBefore w:val="0"/>
              <w:widowControl w:val="0"/>
              <w:kinsoku/>
              <w:overflowPunct/>
              <w:topLinePunct w:val="0"/>
              <w:bidi w:val="0"/>
              <w:adjustRightInd/>
              <w:spacing w:line="360" w:lineRule="exact"/>
              <w:ind w:firstLine="5600" w:firstLineChars="2000"/>
              <w:jc w:val="left"/>
              <w:textAlignment w:val="auto"/>
              <w:rPr>
                <w:rFonts w:hint="default" w:ascii="Times New Roman" w:hAnsi="Times New Roman" w:eastAsia="仿宋_GB2312" w:cs="Times New Roman"/>
                <w:kern w:val="0"/>
                <w:sz w:val="28"/>
              </w:rPr>
            </w:pPr>
          </w:p>
          <w:p w14:paraId="00A1694B">
            <w:pPr>
              <w:keepNext w:val="0"/>
              <w:keepLines w:val="0"/>
              <w:pageBreakBefore w:val="0"/>
              <w:widowControl w:val="0"/>
              <w:kinsoku/>
              <w:overflowPunct/>
              <w:topLinePunct w:val="0"/>
              <w:bidi w:val="0"/>
              <w:adjustRightInd/>
              <w:spacing w:line="360" w:lineRule="exact"/>
              <w:ind w:firstLine="5600" w:firstLineChars="2000"/>
              <w:jc w:val="left"/>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 </w:t>
            </w:r>
          </w:p>
          <w:p w14:paraId="1DBD38F2">
            <w:pPr>
              <w:keepNext w:val="0"/>
              <w:keepLines w:val="0"/>
              <w:pageBreakBefore w:val="0"/>
              <w:widowControl w:val="0"/>
              <w:kinsoku/>
              <w:overflowPunct/>
              <w:topLinePunct w:val="0"/>
              <w:bidi w:val="0"/>
              <w:adjustRightInd/>
              <w:spacing w:line="360" w:lineRule="exact"/>
              <w:ind w:firstLine="5600" w:firstLineChars="2000"/>
              <w:jc w:val="left"/>
              <w:textAlignment w:val="auto"/>
              <w:rPr>
                <w:rFonts w:hint="default" w:ascii="Times New Roman" w:hAnsi="Times New Roman" w:cs="Times New Roman"/>
                <w:kern w:val="0"/>
                <w:sz w:val="28"/>
              </w:rPr>
            </w:pPr>
            <w:r>
              <w:rPr>
                <w:rFonts w:hint="default" w:ascii="Times New Roman" w:hAnsi="Times New Roman" w:eastAsia="仿宋_GB2312" w:cs="Times New Roman"/>
                <w:kern w:val="0"/>
                <w:sz w:val="28"/>
              </w:rPr>
              <w:t> </w:t>
            </w:r>
            <w:r>
              <w:rPr>
                <w:rFonts w:hint="default" w:ascii="Times New Roman" w:hAnsi="Times New Roman" w:eastAsia="仿宋_GB2312" w:cs="Times New Roman"/>
                <w:kern w:val="0"/>
                <w:sz w:val="28"/>
                <w:u w:val="single"/>
              </w:rPr>
              <w:t xml:space="preserve">            </w:t>
            </w:r>
            <w:r>
              <w:rPr>
                <w:rFonts w:hint="default" w:ascii="Times New Roman" w:hAnsi="Times New Roman" w:eastAsia="仿宋_GB2312" w:cs="Times New Roman"/>
                <w:kern w:val="0"/>
                <w:sz w:val="28"/>
              </w:rPr>
              <w:t>（签名）</w:t>
            </w:r>
          </w:p>
        </w:tc>
      </w:tr>
    </w:tbl>
    <w:p w14:paraId="213A248C">
      <w:pPr>
        <w:keepNext w:val="0"/>
        <w:keepLines w:val="0"/>
        <w:pageBreakBefore w:val="0"/>
        <w:widowControl w:val="0"/>
        <w:kinsoku/>
        <w:overflowPunct/>
        <w:topLinePunct w:val="0"/>
        <w:bidi w:val="0"/>
        <w:adjustRightInd/>
        <w:spacing w:line="440" w:lineRule="exact"/>
        <w:jc w:val="left"/>
        <w:textAlignment w:val="auto"/>
        <w:rPr>
          <w:rFonts w:hint="default" w:ascii="Times New Roman" w:hAnsi="Times New Roman" w:eastAsia="仿宋_GB2312" w:cs="Times New Roman"/>
          <w:sz w:val="32"/>
          <w:szCs w:val="32"/>
          <w:lang w:val="en-US" w:eastAsia="zh-CN"/>
        </w:rPr>
        <w:sectPr>
          <w:footerReference r:id="rId7" w:type="default"/>
          <w:pgSz w:w="11906" w:h="16838"/>
          <w:pgMar w:top="1134" w:right="1418" w:bottom="1134" w:left="1418" w:header="851" w:footer="992" w:gutter="0"/>
          <w:cols w:space="720" w:num="1"/>
          <w:docGrid w:type="lines" w:linePitch="312" w:charSpace="0"/>
        </w:sectPr>
      </w:pPr>
      <w:r>
        <w:rPr>
          <w:rFonts w:hint="default" w:ascii="Times New Roman" w:hAnsi="Times New Roman" w:eastAsia="仿宋_GB2312" w:cs="Times New Roman"/>
          <w:kern w:val="0"/>
          <w:sz w:val="24"/>
        </w:rPr>
        <w:t>说明：1.本表为一篇论文一表；2.</w:t>
      </w:r>
      <w:r>
        <w:rPr>
          <w:rFonts w:hint="eastAsia" w:eastAsia="仿宋_GB2312" w:cs="Times New Roman"/>
          <w:kern w:val="0"/>
          <w:sz w:val="24"/>
          <w:lang w:val="en-US" w:eastAsia="zh-CN"/>
        </w:rPr>
        <w:t>参评单位</w:t>
      </w:r>
      <w:r>
        <w:rPr>
          <w:rFonts w:hint="default" w:ascii="Times New Roman" w:hAnsi="Times New Roman" w:eastAsia="仿宋_GB2312" w:cs="Times New Roman"/>
          <w:kern w:val="0"/>
          <w:sz w:val="24"/>
        </w:rPr>
        <w:t>只要填写</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所在单位意见</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即可；3.请将本表</w:t>
      </w:r>
      <w:r>
        <w:rPr>
          <w:rFonts w:hint="eastAsia" w:eastAsia="仿宋_GB2312" w:cs="Times New Roman"/>
          <w:kern w:val="0"/>
          <w:sz w:val="24"/>
          <w:lang w:val="en-US" w:eastAsia="zh-CN"/>
        </w:rPr>
        <w:t>盖章后扫描成pdf</w:t>
      </w:r>
      <w:r>
        <w:rPr>
          <w:rFonts w:hint="default" w:ascii="Times New Roman" w:hAnsi="Times New Roman" w:eastAsia="仿宋_GB2312" w:cs="Times New Roman"/>
          <w:kern w:val="0"/>
          <w:sz w:val="24"/>
        </w:rPr>
        <w:t>随论文一起</w:t>
      </w:r>
      <w:r>
        <w:rPr>
          <w:rFonts w:hint="eastAsia" w:eastAsia="仿宋_GB2312" w:cs="Times New Roman"/>
          <w:kern w:val="0"/>
          <w:sz w:val="24"/>
          <w:lang w:val="en-US" w:eastAsia="zh-CN"/>
        </w:rPr>
        <w:t>发送至学会邮箱；4.分支机构无需盖章，请主任委员在单位意见一栏签字即可。</w:t>
      </w:r>
    </w:p>
    <w:p w14:paraId="2DD2ED4F">
      <w:pPr>
        <w:keepNext w:val="0"/>
        <w:keepLines w:val="0"/>
        <w:pageBreakBefore w:val="0"/>
        <w:widowControl w:val="0"/>
        <w:kinsoku/>
        <w:overflowPunct/>
        <w:topLinePunct w:val="0"/>
        <w:bidi w:val="0"/>
        <w:adjustRightInd/>
        <w:spacing w:line="440" w:lineRule="exact"/>
        <w:jc w:val="left"/>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附件</w:t>
      </w:r>
      <w:r>
        <w:rPr>
          <w:rFonts w:hint="eastAsia" w:eastAsia="黑体" w:cs="Times New Roman"/>
          <w:bCs/>
          <w:kern w:val="0"/>
          <w:sz w:val="32"/>
          <w:szCs w:val="32"/>
          <w:lang w:val="en-US" w:eastAsia="zh-CN"/>
        </w:rPr>
        <w:t>3</w:t>
      </w:r>
      <w:r>
        <w:rPr>
          <w:rFonts w:hint="default" w:ascii="Times New Roman" w:hAnsi="Times New Roman" w:eastAsia="黑体" w:cs="Times New Roman"/>
          <w:bCs/>
          <w:kern w:val="0"/>
          <w:sz w:val="32"/>
          <w:szCs w:val="32"/>
        </w:rPr>
        <w:t>:</w:t>
      </w:r>
    </w:p>
    <w:p w14:paraId="0F0CE67E">
      <w:pPr>
        <w:keepNext w:val="0"/>
        <w:keepLines w:val="0"/>
        <w:pageBreakBefore w:val="0"/>
        <w:widowControl w:val="0"/>
        <w:kinsoku/>
        <w:wordWrap/>
        <w:overflowPunct/>
        <w:topLinePunct w:val="0"/>
        <w:bidi w:val="0"/>
        <w:adjustRightInd/>
        <w:spacing w:line="600" w:lineRule="exact"/>
        <w:jc w:val="center"/>
        <w:textAlignment w:val="auto"/>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20</w:t>
      </w:r>
      <w:r>
        <w:rPr>
          <w:rFonts w:hint="default" w:ascii="Times New Roman" w:hAnsi="Times New Roman" w:eastAsia="方正小标宋_GBK" w:cs="Times New Roman"/>
          <w:b w:val="0"/>
          <w:bCs/>
          <w:sz w:val="44"/>
          <w:szCs w:val="44"/>
          <w:lang w:val="en-US" w:eastAsia="zh-CN"/>
        </w:rPr>
        <w:t>2</w:t>
      </w:r>
      <w:r>
        <w:rPr>
          <w:rFonts w:hint="eastAsia" w:eastAsia="方正小标宋_GBK" w:cs="Times New Roman"/>
          <w:b w:val="0"/>
          <w:bCs/>
          <w:sz w:val="44"/>
          <w:szCs w:val="44"/>
          <w:lang w:val="en-US" w:eastAsia="zh-CN"/>
        </w:rPr>
        <w:t>5</w:t>
      </w:r>
      <w:r>
        <w:rPr>
          <w:rFonts w:hint="default" w:ascii="Times New Roman" w:hAnsi="Times New Roman" w:eastAsia="方正小标宋_GBK" w:cs="Times New Roman"/>
          <w:b w:val="0"/>
          <w:bCs/>
          <w:sz w:val="44"/>
          <w:szCs w:val="44"/>
        </w:rPr>
        <w:t>年湖南省职业教育与成人教育优秀论文评选</w:t>
      </w:r>
    </w:p>
    <w:p w14:paraId="7F3BCE0A">
      <w:pPr>
        <w:keepNext w:val="0"/>
        <w:keepLines w:val="0"/>
        <w:pageBreakBefore w:val="0"/>
        <w:widowControl w:val="0"/>
        <w:kinsoku/>
        <w:wordWrap/>
        <w:overflowPunct/>
        <w:topLinePunct w:val="0"/>
        <w:bidi w:val="0"/>
        <w:adjustRightInd/>
        <w:spacing w:line="600" w:lineRule="exact"/>
        <w:jc w:val="center"/>
        <w:textAlignment w:val="auto"/>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推荐参评论文清单</w:t>
      </w:r>
    </w:p>
    <w:p w14:paraId="5188E34D">
      <w:pPr>
        <w:keepNext w:val="0"/>
        <w:keepLines w:val="0"/>
        <w:pageBreakBefore w:val="0"/>
        <w:widowControl w:val="0"/>
        <w:kinsoku/>
        <w:overflowPunct/>
        <w:topLinePunct w:val="0"/>
        <w:bidi w:val="0"/>
        <w:adjustRightInd/>
        <w:spacing w:line="456" w:lineRule="auto"/>
        <w:jc w:val="left"/>
        <w:textAlignment w:val="auto"/>
        <w:rPr>
          <w:rFonts w:hint="default" w:ascii="Times New Roman" w:hAnsi="Times New Roman" w:cs="Times New Roman"/>
          <w:kern w:val="0"/>
          <w:sz w:val="28"/>
          <w:szCs w:val="28"/>
        </w:rPr>
      </w:pPr>
      <w:r>
        <w:rPr>
          <w:rFonts w:hint="default" w:ascii="Times New Roman" w:hAnsi="Times New Roman" w:eastAsia="仿宋_GB2312" w:cs="Times New Roman"/>
          <w:kern w:val="0"/>
          <w:sz w:val="30"/>
        </w:rPr>
        <w:t> </w:t>
      </w:r>
      <w:r>
        <w:rPr>
          <w:rFonts w:hint="default" w:ascii="Times New Roman" w:hAnsi="Times New Roman" w:eastAsia="仿宋_GB2312" w:cs="Times New Roman"/>
          <w:kern w:val="0"/>
          <w:sz w:val="28"/>
          <w:szCs w:val="28"/>
        </w:rPr>
        <w:t>推荐单位</w:t>
      </w:r>
      <w:r>
        <w:rPr>
          <w:rFonts w:hint="default" w:ascii="Times New Roman" w:hAnsi="Times New Roman" w:eastAsia="仿宋_GB2312" w:cs="Times New Roman"/>
          <w:kern w:val="0"/>
          <w:sz w:val="28"/>
          <w:szCs w:val="28"/>
          <w:u w:val="single"/>
        </w:rPr>
        <w:t xml:space="preserve">                </w:t>
      </w:r>
      <w:r>
        <w:rPr>
          <w:rFonts w:hint="default" w:ascii="Times New Roman" w:hAnsi="Times New Roman" w:eastAsia="仿宋_GB2312" w:cs="Times New Roman"/>
          <w:kern w:val="0"/>
          <w:sz w:val="28"/>
          <w:szCs w:val="28"/>
        </w:rPr>
        <w:t>（盖章）  联系人</w:t>
      </w:r>
      <w:r>
        <w:rPr>
          <w:rFonts w:hint="default" w:ascii="Times New Roman" w:hAnsi="Times New Roman" w:eastAsia="仿宋_GB2312" w:cs="Times New Roman"/>
          <w:kern w:val="0"/>
          <w:sz w:val="28"/>
          <w:szCs w:val="28"/>
          <w:u w:val="single"/>
        </w:rPr>
        <w:t xml:space="preserve">             </w:t>
      </w:r>
      <w:r>
        <w:rPr>
          <w:rFonts w:hint="default" w:ascii="Times New Roman" w:hAnsi="Times New Roman" w:eastAsia="仿宋_GB2312" w:cs="Times New Roman"/>
          <w:kern w:val="0"/>
          <w:sz w:val="28"/>
          <w:szCs w:val="28"/>
        </w:rPr>
        <w:t xml:space="preserve">   联系电话</w:t>
      </w:r>
      <w:r>
        <w:rPr>
          <w:rFonts w:hint="default" w:ascii="Times New Roman" w:hAnsi="Times New Roman" w:eastAsia="仿宋_GB2312" w:cs="Times New Roman"/>
          <w:kern w:val="0"/>
          <w:sz w:val="28"/>
          <w:szCs w:val="28"/>
          <w:u w:val="single"/>
        </w:rPr>
        <w:t xml:space="preserve">                </w:t>
      </w:r>
      <w:r>
        <w:rPr>
          <w:rFonts w:hint="default" w:ascii="Times New Roman" w:hAnsi="Times New Roman" w:eastAsia="仿宋_GB2312" w:cs="Times New Roman"/>
          <w:kern w:val="0"/>
          <w:sz w:val="28"/>
          <w:szCs w:val="28"/>
        </w:rPr>
        <w:t xml:space="preserve">   20</w:t>
      </w:r>
      <w:r>
        <w:rPr>
          <w:rFonts w:hint="default" w:ascii="Times New Roman" w:hAnsi="Times New Roman" w:eastAsia="仿宋_GB2312" w:cs="Times New Roman"/>
          <w:kern w:val="0"/>
          <w:sz w:val="28"/>
          <w:szCs w:val="28"/>
          <w:lang w:val="en-US" w:eastAsia="zh-CN"/>
        </w:rPr>
        <w:t>2</w:t>
      </w:r>
      <w:r>
        <w:rPr>
          <w:rFonts w:hint="eastAsia" w:eastAsia="仿宋_GB2312" w:cs="Times New Roman"/>
          <w:kern w:val="0"/>
          <w:sz w:val="28"/>
          <w:szCs w:val="28"/>
          <w:lang w:val="en-US" w:eastAsia="zh-CN"/>
        </w:rPr>
        <w:t>5</w:t>
      </w:r>
      <w:bookmarkStart w:id="4" w:name="_GoBack"/>
      <w:bookmarkEnd w:id="4"/>
      <w:r>
        <w:rPr>
          <w:rFonts w:hint="default" w:ascii="Times New Roman" w:hAnsi="Times New Roman" w:eastAsia="仿宋_GB2312" w:cs="Times New Roman"/>
          <w:kern w:val="0"/>
          <w:sz w:val="28"/>
          <w:szCs w:val="28"/>
        </w:rPr>
        <w:t>年</w:t>
      </w:r>
      <w:r>
        <w:rPr>
          <w:rFonts w:hint="default" w:ascii="Times New Roman" w:hAnsi="Times New Roman" w:eastAsia="仿宋_GB2312" w:cs="Times New Roman"/>
          <w:kern w:val="0"/>
          <w:sz w:val="28"/>
          <w:szCs w:val="28"/>
          <w:u w:val="single"/>
        </w:rPr>
        <w:t xml:space="preserve">     </w:t>
      </w:r>
      <w:r>
        <w:rPr>
          <w:rFonts w:hint="default" w:ascii="Times New Roman" w:hAnsi="Times New Roman" w:eastAsia="仿宋_GB2312" w:cs="Times New Roman"/>
          <w:kern w:val="0"/>
          <w:sz w:val="28"/>
          <w:szCs w:val="28"/>
        </w:rPr>
        <w:t>月</w:t>
      </w:r>
      <w:r>
        <w:rPr>
          <w:rFonts w:hint="default" w:ascii="Times New Roman" w:hAnsi="Times New Roman" w:eastAsia="仿宋_GB2312" w:cs="Times New Roman"/>
          <w:kern w:val="0"/>
          <w:sz w:val="28"/>
          <w:szCs w:val="28"/>
          <w:u w:val="single"/>
        </w:rPr>
        <w:t xml:space="preserve">    </w:t>
      </w:r>
      <w:r>
        <w:rPr>
          <w:rFonts w:hint="default" w:ascii="Times New Roman" w:hAnsi="Times New Roman" w:eastAsia="仿宋_GB2312" w:cs="Times New Roman"/>
          <w:kern w:val="0"/>
          <w:sz w:val="28"/>
          <w:szCs w:val="28"/>
        </w:rPr>
        <w:t>日</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4680"/>
        <w:gridCol w:w="1620"/>
        <w:gridCol w:w="3501"/>
        <w:gridCol w:w="1924"/>
        <w:gridCol w:w="1655"/>
      </w:tblGrid>
      <w:tr w14:paraId="19B9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4604A5F8">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28"/>
                <w:szCs w:val="28"/>
              </w:rPr>
            </w:pPr>
            <w:r>
              <w:rPr>
                <w:rFonts w:hint="default" w:ascii="Times New Roman" w:hAnsi="Times New Roman" w:eastAsia="仿宋_GB2312" w:cs="Times New Roman"/>
                <w:kern w:val="0"/>
                <w:sz w:val="28"/>
                <w:szCs w:val="28"/>
              </w:rPr>
              <w:t>序号</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413641B">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28"/>
                <w:szCs w:val="28"/>
              </w:rPr>
            </w:pPr>
            <w:r>
              <w:rPr>
                <w:rFonts w:hint="default" w:ascii="Times New Roman" w:hAnsi="Times New Roman" w:eastAsia="仿宋_GB2312" w:cs="Times New Roman"/>
                <w:kern w:val="0"/>
                <w:sz w:val="28"/>
                <w:szCs w:val="28"/>
              </w:rPr>
              <w:t>论文题目</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42A9FF5">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28"/>
                <w:szCs w:val="28"/>
              </w:rPr>
            </w:pPr>
            <w:r>
              <w:rPr>
                <w:rFonts w:hint="default" w:ascii="Times New Roman" w:hAnsi="Times New Roman" w:eastAsia="仿宋_GB2312" w:cs="Times New Roman"/>
                <w:kern w:val="0"/>
                <w:sz w:val="28"/>
                <w:szCs w:val="28"/>
              </w:rPr>
              <w:t>作者姓名</w:t>
            </w:r>
          </w:p>
        </w:tc>
        <w:tc>
          <w:tcPr>
            <w:tcW w:w="3501" w:type="dxa"/>
            <w:tcBorders>
              <w:top w:val="single" w:color="auto" w:sz="4" w:space="0"/>
              <w:left w:val="single" w:color="auto" w:sz="4" w:space="0"/>
              <w:bottom w:val="single" w:color="auto" w:sz="4" w:space="0"/>
              <w:right w:val="single" w:color="auto" w:sz="4" w:space="0"/>
            </w:tcBorders>
            <w:noWrap w:val="0"/>
            <w:vAlign w:val="center"/>
          </w:tcPr>
          <w:p w14:paraId="04CE05E9">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28"/>
                <w:szCs w:val="28"/>
              </w:rPr>
            </w:pPr>
            <w:r>
              <w:rPr>
                <w:rFonts w:hint="default" w:ascii="Times New Roman" w:hAnsi="Times New Roman" w:eastAsia="仿宋_GB2312" w:cs="Times New Roman"/>
                <w:kern w:val="0"/>
                <w:sz w:val="28"/>
                <w:szCs w:val="28"/>
              </w:rPr>
              <w:t>作者单位</w:t>
            </w:r>
          </w:p>
        </w:tc>
        <w:tc>
          <w:tcPr>
            <w:tcW w:w="1924" w:type="dxa"/>
            <w:tcBorders>
              <w:top w:val="single" w:color="auto" w:sz="4" w:space="0"/>
              <w:left w:val="single" w:color="auto" w:sz="4" w:space="0"/>
              <w:bottom w:val="single" w:color="auto" w:sz="4" w:space="0"/>
              <w:right w:val="single" w:color="auto" w:sz="4" w:space="0"/>
            </w:tcBorders>
            <w:noWrap w:val="0"/>
            <w:vAlign w:val="top"/>
          </w:tcPr>
          <w:p w14:paraId="327B1CE3">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联系电话</w:t>
            </w:r>
          </w:p>
        </w:tc>
        <w:tc>
          <w:tcPr>
            <w:tcW w:w="1655" w:type="dxa"/>
            <w:tcBorders>
              <w:top w:val="single" w:color="auto" w:sz="4" w:space="0"/>
              <w:left w:val="single" w:color="auto" w:sz="4" w:space="0"/>
              <w:bottom w:val="single" w:color="auto" w:sz="4" w:space="0"/>
              <w:right w:val="single" w:color="auto" w:sz="4" w:space="0"/>
            </w:tcBorders>
            <w:noWrap w:val="0"/>
            <w:vAlign w:val="center"/>
          </w:tcPr>
          <w:p w14:paraId="53AC5CCA">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28"/>
                <w:szCs w:val="28"/>
              </w:rPr>
            </w:pPr>
            <w:r>
              <w:rPr>
                <w:rFonts w:hint="default" w:ascii="Times New Roman" w:hAnsi="Times New Roman" w:eastAsia="仿宋_GB2312" w:cs="Times New Roman"/>
                <w:kern w:val="0"/>
                <w:sz w:val="28"/>
                <w:szCs w:val="28"/>
              </w:rPr>
              <w:t>备注</w:t>
            </w:r>
          </w:p>
        </w:tc>
      </w:tr>
      <w:tr w14:paraId="54CF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2EC361A6">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669582E">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B0F019E">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3501" w:type="dxa"/>
            <w:tcBorders>
              <w:top w:val="single" w:color="auto" w:sz="4" w:space="0"/>
              <w:left w:val="single" w:color="auto" w:sz="4" w:space="0"/>
              <w:bottom w:val="single" w:color="auto" w:sz="4" w:space="0"/>
              <w:right w:val="single" w:color="auto" w:sz="4" w:space="0"/>
            </w:tcBorders>
            <w:noWrap w:val="0"/>
            <w:vAlign w:val="center"/>
          </w:tcPr>
          <w:p w14:paraId="1CCF64F2">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924" w:type="dxa"/>
            <w:tcBorders>
              <w:top w:val="single" w:color="auto" w:sz="4" w:space="0"/>
              <w:left w:val="single" w:color="auto" w:sz="4" w:space="0"/>
              <w:bottom w:val="single" w:color="auto" w:sz="4" w:space="0"/>
              <w:right w:val="single" w:color="auto" w:sz="4" w:space="0"/>
            </w:tcBorders>
            <w:noWrap w:val="0"/>
            <w:vAlign w:val="top"/>
          </w:tcPr>
          <w:p w14:paraId="6395901F">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1655" w:type="dxa"/>
            <w:tcBorders>
              <w:top w:val="single" w:color="auto" w:sz="4" w:space="0"/>
              <w:left w:val="single" w:color="auto" w:sz="4" w:space="0"/>
              <w:bottom w:val="single" w:color="auto" w:sz="4" w:space="0"/>
              <w:right w:val="single" w:color="auto" w:sz="4" w:space="0"/>
            </w:tcBorders>
            <w:noWrap w:val="0"/>
            <w:vAlign w:val="center"/>
          </w:tcPr>
          <w:p w14:paraId="721B0D0C">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r>
      <w:tr w14:paraId="1823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02827D5E">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5BE9035B">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2867958">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3501" w:type="dxa"/>
            <w:tcBorders>
              <w:top w:val="single" w:color="auto" w:sz="4" w:space="0"/>
              <w:left w:val="single" w:color="auto" w:sz="4" w:space="0"/>
              <w:bottom w:val="single" w:color="auto" w:sz="4" w:space="0"/>
              <w:right w:val="single" w:color="auto" w:sz="4" w:space="0"/>
            </w:tcBorders>
            <w:noWrap w:val="0"/>
            <w:vAlign w:val="center"/>
          </w:tcPr>
          <w:p w14:paraId="517237F7">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924" w:type="dxa"/>
            <w:tcBorders>
              <w:top w:val="single" w:color="auto" w:sz="4" w:space="0"/>
              <w:left w:val="single" w:color="auto" w:sz="4" w:space="0"/>
              <w:bottom w:val="single" w:color="auto" w:sz="4" w:space="0"/>
              <w:right w:val="single" w:color="auto" w:sz="4" w:space="0"/>
            </w:tcBorders>
            <w:noWrap w:val="0"/>
            <w:vAlign w:val="top"/>
          </w:tcPr>
          <w:p w14:paraId="57574ECE">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1655" w:type="dxa"/>
            <w:tcBorders>
              <w:top w:val="single" w:color="auto" w:sz="4" w:space="0"/>
              <w:left w:val="single" w:color="auto" w:sz="4" w:space="0"/>
              <w:bottom w:val="single" w:color="auto" w:sz="4" w:space="0"/>
              <w:right w:val="single" w:color="auto" w:sz="4" w:space="0"/>
            </w:tcBorders>
            <w:noWrap w:val="0"/>
            <w:vAlign w:val="center"/>
          </w:tcPr>
          <w:p w14:paraId="72E88897">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r>
      <w:tr w14:paraId="5A8F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548D7EC6">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E87C94C">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E72FB95">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3501" w:type="dxa"/>
            <w:tcBorders>
              <w:top w:val="single" w:color="auto" w:sz="4" w:space="0"/>
              <w:left w:val="single" w:color="auto" w:sz="4" w:space="0"/>
              <w:bottom w:val="single" w:color="auto" w:sz="4" w:space="0"/>
              <w:right w:val="single" w:color="auto" w:sz="4" w:space="0"/>
            </w:tcBorders>
            <w:noWrap w:val="0"/>
            <w:vAlign w:val="center"/>
          </w:tcPr>
          <w:p w14:paraId="486ACDDA">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924" w:type="dxa"/>
            <w:tcBorders>
              <w:top w:val="single" w:color="auto" w:sz="4" w:space="0"/>
              <w:left w:val="single" w:color="auto" w:sz="4" w:space="0"/>
              <w:bottom w:val="single" w:color="auto" w:sz="4" w:space="0"/>
              <w:right w:val="single" w:color="auto" w:sz="4" w:space="0"/>
            </w:tcBorders>
            <w:noWrap w:val="0"/>
            <w:vAlign w:val="top"/>
          </w:tcPr>
          <w:p w14:paraId="34DA3D59">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1655" w:type="dxa"/>
            <w:tcBorders>
              <w:top w:val="single" w:color="auto" w:sz="4" w:space="0"/>
              <w:left w:val="single" w:color="auto" w:sz="4" w:space="0"/>
              <w:bottom w:val="single" w:color="auto" w:sz="4" w:space="0"/>
              <w:right w:val="single" w:color="auto" w:sz="4" w:space="0"/>
            </w:tcBorders>
            <w:noWrap w:val="0"/>
            <w:vAlign w:val="center"/>
          </w:tcPr>
          <w:p w14:paraId="72BEC57A">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r>
      <w:tr w14:paraId="0C66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40C5FA18">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50A8EA24">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0C09F4B">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3501" w:type="dxa"/>
            <w:tcBorders>
              <w:top w:val="single" w:color="auto" w:sz="4" w:space="0"/>
              <w:left w:val="single" w:color="auto" w:sz="4" w:space="0"/>
              <w:bottom w:val="single" w:color="auto" w:sz="4" w:space="0"/>
              <w:right w:val="single" w:color="auto" w:sz="4" w:space="0"/>
            </w:tcBorders>
            <w:noWrap w:val="0"/>
            <w:vAlign w:val="center"/>
          </w:tcPr>
          <w:p w14:paraId="20F1D779">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924" w:type="dxa"/>
            <w:tcBorders>
              <w:top w:val="single" w:color="auto" w:sz="4" w:space="0"/>
              <w:left w:val="single" w:color="auto" w:sz="4" w:space="0"/>
              <w:bottom w:val="single" w:color="auto" w:sz="4" w:space="0"/>
              <w:right w:val="single" w:color="auto" w:sz="4" w:space="0"/>
            </w:tcBorders>
            <w:noWrap w:val="0"/>
            <w:vAlign w:val="top"/>
          </w:tcPr>
          <w:p w14:paraId="17A2E2EE">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1655" w:type="dxa"/>
            <w:tcBorders>
              <w:top w:val="single" w:color="auto" w:sz="4" w:space="0"/>
              <w:left w:val="single" w:color="auto" w:sz="4" w:space="0"/>
              <w:bottom w:val="single" w:color="auto" w:sz="4" w:space="0"/>
              <w:right w:val="single" w:color="auto" w:sz="4" w:space="0"/>
            </w:tcBorders>
            <w:noWrap w:val="0"/>
            <w:vAlign w:val="center"/>
          </w:tcPr>
          <w:p w14:paraId="13D65274">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r>
      <w:tr w14:paraId="2B38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51DCD37A">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06D94EC6">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6A21831">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3501" w:type="dxa"/>
            <w:tcBorders>
              <w:top w:val="single" w:color="auto" w:sz="4" w:space="0"/>
              <w:left w:val="single" w:color="auto" w:sz="4" w:space="0"/>
              <w:bottom w:val="single" w:color="auto" w:sz="4" w:space="0"/>
              <w:right w:val="single" w:color="auto" w:sz="4" w:space="0"/>
            </w:tcBorders>
            <w:noWrap w:val="0"/>
            <w:vAlign w:val="center"/>
          </w:tcPr>
          <w:p w14:paraId="484F1311">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924" w:type="dxa"/>
            <w:tcBorders>
              <w:top w:val="single" w:color="auto" w:sz="4" w:space="0"/>
              <w:left w:val="single" w:color="auto" w:sz="4" w:space="0"/>
              <w:bottom w:val="single" w:color="auto" w:sz="4" w:space="0"/>
              <w:right w:val="single" w:color="auto" w:sz="4" w:space="0"/>
            </w:tcBorders>
            <w:noWrap w:val="0"/>
            <w:vAlign w:val="top"/>
          </w:tcPr>
          <w:p w14:paraId="5D0CE4DA">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1655" w:type="dxa"/>
            <w:tcBorders>
              <w:top w:val="single" w:color="auto" w:sz="4" w:space="0"/>
              <w:left w:val="single" w:color="auto" w:sz="4" w:space="0"/>
              <w:bottom w:val="single" w:color="auto" w:sz="4" w:space="0"/>
              <w:right w:val="single" w:color="auto" w:sz="4" w:space="0"/>
            </w:tcBorders>
            <w:noWrap w:val="0"/>
            <w:vAlign w:val="center"/>
          </w:tcPr>
          <w:p w14:paraId="1ABB387E">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r>
      <w:tr w14:paraId="76C6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1365D487">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4059D09">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F3DB725">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3501" w:type="dxa"/>
            <w:tcBorders>
              <w:top w:val="single" w:color="auto" w:sz="4" w:space="0"/>
              <w:left w:val="single" w:color="auto" w:sz="4" w:space="0"/>
              <w:bottom w:val="single" w:color="auto" w:sz="4" w:space="0"/>
              <w:right w:val="single" w:color="auto" w:sz="4" w:space="0"/>
            </w:tcBorders>
            <w:noWrap w:val="0"/>
            <w:vAlign w:val="center"/>
          </w:tcPr>
          <w:p w14:paraId="0B58701E">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924" w:type="dxa"/>
            <w:tcBorders>
              <w:top w:val="single" w:color="auto" w:sz="4" w:space="0"/>
              <w:left w:val="single" w:color="auto" w:sz="4" w:space="0"/>
              <w:bottom w:val="single" w:color="auto" w:sz="4" w:space="0"/>
              <w:right w:val="single" w:color="auto" w:sz="4" w:space="0"/>
            </w:tcBorders>
            <w:noWrap w:val="0"/>
            <w:vAlign w:val="top"/>
          </w:tcPr>
          <w:p w14:paraId="35CA424C">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1655" w:type="dxa"/>
            <w:tcBorders>
              <w:top w:val="single" w:color="auto" w:sz="4" w:space="0"/>
              <w:left w:val="single" w:color="auto" w:sz="4" w:space="0"/>
              <w:bottom w:val="single" w:color="auto" w:sz="4" w:space="0"/>
              <w:right w:val="single" w:color="auto" w:sz="4" w:space="0"/>
            </w:tcBorders>
            <w:noWrap w:val="0"/>
            <w:vAlign w:val="center"/>
          </w:tcPr>
          <w:p w14:paraId="19AF09BA">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r>
      <w:tr w14:paraId="1472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21B810B7">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9A2E8FF">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3AF1771">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3501" w:type="dxa"/>
            <w:tcBorders>
              <w:top w:val="single" w:color="auto" w:sz="4" w:space="0"/>
              <w:left w:val="single" w:color="auto" w:sz="4" w:space="0"/>
              <w:bottom w:val="single" w:color="auto" w:sz="4" w:space="0"/>
              <w:right w:val="single" w:color="auto" w:sz="4" w:space="0"/>
            </w:tcBorders>
            <w:noWrap w:val="0"/>
            <w:vAlign w:val="center"/>
          </w:tcPr>
          <w:p w14:paraId="3FB375CB">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1924" w:type="dxa"/>
            <w:tcBorders>
              <w:top w:val="single" w:color="auto" w:sz="4" w:space="0"/>
              <w:left w:val="single" w:color="auto" w:sz="4" w:space="0"/>
              <w:bottom w:val="single" w:color="auto" w:sz="4" w:space="0"/>
              <w:right w:val="single" w:color="auto" w:sz="4" w:space="0"/>
            </w:tcBorders>
            <w:noWrap w:val="0"/>
            <w:vAlign w:val="top"/>
          </w:tcPr>
          <w:p w14:paraId="242D1DD0">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1655" w:type="dxa"/>
            <w:tcBorders>
              <w:top w:val="single" w:color="auto" w:sz="4" w:space="0"/>
              <w:left w:val="single" w:color="auto" w:sz="4" w:space="0"/>
              <w:bottom w:val="single" w:color="auto" w:sz="4" w:space="0"/>
              <w:right w:val="single" w:color="auto" w:sz="4" w:space="0"/>
            </w:tcBorders>
            <w:noWrap w:val="0"/>
            <w:vAlign w:val="center"/>
          </w:tcPr>
          <w:p w14:paraId="5AC614C6">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r>
      <w:tr w14:paraId="7D94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1665F780">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5D4F8BF">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62F0129">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3501" w:type="dxa"/>
            <w:tcBorders>
              <w:top w:val="single" w:color="auto" w:sz="4" w:space="0"/>
              <w:left w:val="single" w:color="auto" w:sz="4" w:space="0"/>
              <w:bottom w:val="single" w:color="auto" w:sz="4" w:space="0"/>
              <w:right w:val="single" w:color="auto" w:sz="4" w:space="0"/>
            </w:tcBorders>
            <w:noWrap w:val="0"/>
            <w:vAlign w:val="center"/>
          </w:tcPr>
          <w:p w14:paraId="20D40A29">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c>
          <w:tcPr>
            <w:tcW w:w="1924" w:type="dxa"/>
            <w:tcBorders>
              <w:top w:val="single" w:color="auto" w:sz="4" w:space="0"/>
              <w:left w:val="single" w:color="auto" w:sz="4" w:space="0"/>
              <w:bottom w:val="single" w:color="auto" w:sz="4" w:space="0"/>
              <w:right w:val="single" w:color="auto" w:sz="4" w:space="0"/>
            </w:tcBorders>
            <w:noWrap w:val="0"/>
            <w:vAlign w:val="top"/>
          </w:tcPr>
          <w:p w14:paraId="083F75AA">
            <w:pPr>
              <w:keepNext w:val="0"/>
              <w:keepLines w:val="0"/>
              <w:pageBreakBefore w:val="0"/>
              <w:widowControl w:val="0"/>
              <w:kinsoku/>
              <w:overflowPunct/>
              <w:topLinePunct w:val="0"/>
              <w:bidi w:val="0"/>
              <w:adjustRightInd/>
              <w:jc w:val="center"/>
              <w:textAlignment w:val="auto"/>
              <w:rPr>
                <w:rFonts w:hint="default" w:ascii="Times New Roman" w:hAnsi="Times New Roman" w:eastAsia="仿宋_GB2312" w:cs="Times New Roman"/>
                <w:kern w:val="0"/>
                <w:sz w:val="36"/>
                <w:szCs w:val="36"/>
              </w:rPr>
            </w:pPr>
          </w:p>
        </w:tc>
        <w:tc>
          <w:tcPr>
            <w:tcW w:w="1655" w:type="dxa"/>
            <w:tcBorders>
              <w:top w:val="single" w:color="auto" w:sz="4" w:space="0"/>
              <w:left w:val="single" w:color="auto" w:sz="4" w:space="0"/>
              <w:bottom w:val="single" w:color="auto" w:sz="4" w:space="0"/>
              <w:right w:val="single" w:color="auto" w:sz="4" w:space="0"/>
            </w:tcBorders>
            <w:noWrap w:val="0"/>
            <w:vAlign w:val="center"/>
          </w:tcPr>
          <w:p w14:paraId="38E248BC">
            <w:pPr>
              <w:keepNext w:val="0"/>
              <w:keepLines w:val="0"/>
              <w:pageBreakBefore w:val="0"/>
              <w:widowControl w:val="0"/>
              <w:kinsoku/>
              <w:overflowPunct/>
              <w:topLinePunct w:val="0"/>
              <w:bidi w:val="0"/>
              <w:adjustRightInd/>
              <w:jc w:val="center"/>
              <w:textAlignment w:val="auto"/>
              <w:rPr>
                <w:rFonts w:hint="default" w:ascii="Times New Roman" w:hAnsi="Times New Roman" w:cs="Times New Roman"/>
                <w:kern w:val="0"/>
                <w:sz w:val="18"/>
                <w:szCs w:val="18"/>
              </w:rPr>
            </w:pPr>
            <w:r>
              <w:rPr>
                <w:rFonts w:hint="default" w:ascii="Times New Roman" w:hAnsi="Times New Roman" w:eastAsia="仿宋_GB2312" w:cs="Times New Roman"/>
                <w:kern w:val="0"/>
                <w:sz w:val="36"/>
                <w:szCs w:val="36"/>
              </w:rPr>
              <w:t> </w:t>
            </w:r>
          </w:p>
        </w:tc>
      </w:tr>
    </w:tbl>
    <w:p w14:paraId="2E6C3CA2">
      <w:pPr>
        <w:keepNext w:val="0"/>
        <w:keepLines w:val="0"/>
        <w:pageBreakBefore w:val="0"/>
        <w:widowControl w:val="0"/>
        <w:kinsoku/>
        <w:overflowPunct/>
        <w:topLinePunct w:val="0"/>
        <w:bidi w:val="0"/>
        <w:adjustRightInd/>
        <w:spacing w:line="440" w:lineRule="exact"/>
        <w:jc w:val="lef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kern w:val="0"/>
          <w:sz w:val="24"/>
        </w:rPr>
        <w:t>说明：1.本表可按论文申报数量增加行；2.请将本表</w:t>
      </w:r>
      <w:r>
        <w:rPr>
          <w:rFonts w:hint="eastAsia" w:eastAsia="仿宋_GB2312" w:cs="Times New Roman"/>
          <w:kern w:val="0"/>
          <w:sz w:val="24"/>
          <w:lang w:val="en-US" w:eastAsia="zh-CN"/>
        </w:rPr>
        <w:t>盖章后扫描成pdf文档随论文一起发送至学会邮箱</w:t>
      </w:r>
      <w:r>
        <w:rPr>
          <w:rFonts w:hint="default" w:ascii="Times New Roman" w:hAnsi="Times New Roman" w:eastAsia="仿宋_GB2312" w:cs="Times New Roman"/>
          <w:kern w:val="0"/>
          <w:sz w:val="24"/>
        </w:rPr>
        <w:t>；3.推荐单位名称需与公章一致</w:t>
      </w:r>
      <w:r>
        <w:rPr>
          <w:rFonts w:hint="eastAsia" w:eastAsia="仿宋_GB2312" w:cs="Times New Roman"/>
          <w:kern w:val="0"/>
          <w:sz w:val="24"/>
          <w:lang w:eastAsia="zh-CN"/>
        </w:rPr>
        <w:t>；</w:t>
      </w:r>
      <w:r>
        <w:rPr>
          <w:rFonts w:hint="eastAsia" w:eastAsia="仿宋_GB2312" w:cs="Times New Roman"/>
          <w:kern w:val="0"/>
          <w:sz w:val="24"/>
          <w:lang w:val="en-US" w:eastAsia="zh-CN"/>
        </w:rPr>
        <w:t>4.分支机构无需盖章。</w:t>
      </w:r>
    </w:p>
    <w:p w14:paraId="748BF8F5"/>
    <w:p w14:paraId="638A6C3A">
      <w:pPr>
        <w:pStyle w:val="5"/>
        <w:spacing w:before="41"/>
        <w:rPr>
          <w:rFonts w:hint="eastAsia" w:ascii="黑体" w:hAnsi="黑体" w:eastAsia="黑体" w:cs="黑体"/>
          <w:sz w:val="32"/>
          <w:szCs w:val="32"/>
          <w:lang w:val="en-US"/>
        </w:rPr>
      </w:pPr>
      <w:r>
        <w:rPr>
          <w:rFonts w:hint="eastAsia" w:ascii="黑体" w:hAnsi="黑体" w:eastAsia="黑体" w:cs="黑体"/>
          <w:sz w:val="32"/>
          <w:szCs w:val="32"/>
          <w:lang w:val="en-US"/>
        </w:rPr>
        <w:t>附件4：</w:t>
      </w:r>
    </w:p>
    <w:p w14:paraId="2A3BE0C3">
      <w:pPr>
        <w:keepNext w:val="0"/>
        <w:keepLines w:val="0"/>
        <w:pageBreakBefore w:val="0"/>
        <w:widowControl w:val="0"/>
        <w:kinsoku/>
        <w:wordWrap/>
        <w:overflowPunct/>
        <w:topLinePunct w:val="0"/>
        <w:bidi w:val="0"/>
        <w:adjustRightInd/>
        <w:spacing w:line="600" w:lineRule="exact"/>
        <w:jc w:val="center"/>
        <w:textAlignment w:val="auto"/>
        <w:rPr>
          <w:rFonts w:hint="eastAsia" w:ascii="方正小标宋简体" w:hAnsi="方正小标宋简体" w:eastAsia="方正小标宋简体" w:cs="方正小标宋简体"/>
          <w:b w:val="0"/>
          <w:bCs/>
          <w:sz w:val="44"/>
          <w:szCs w:val="44"/>
        </w:rPr>
      </w:pPr>
    </w:p>
    <w:p w14:paraId="5066DFC9">
      <w:pPr>
        <w:keepNext w:val="0"/>
        <w:keepLines w:val="0"/>
        <w:pageBreakBefore w:val="0"/>
        <w:widowControl w:val="0"/>
        <w:kinsoku/>
        <w:wordWrap/>
        <w:overflowPunct/>
        <w:topLinePunct w:val="0"/>
        <w:bidi w:val="0"/>
        <w:adjustRightInd/>
        <w:spacing w:line="600" w:lineRule="exact"/>
        <w:jc w:val="center"/>
        <w:textAlignment w:val="auto"/>
        <w:rPr>
          <w:rFonts w:hint="eastAsia" w:ascii="方正小标宋简体" w:hAnsi="方正小标宋简体" w:eastAsia="方正小标宋简体" w:cs="方正小标宋简体"/>
          <w:b w:val="0"/>
          <w:bCs/>
          <w:sz w:val="44"/>
          <w:szCs w:val="44"/>
          <w:lang w:val="en-US"/>
        </w:rPr>
      </w:pPr>
      <w:r>
        <w:rPr>
          <w:rFonts w:hint="eastAsia" w:ascii="方正小标宋简体" w:hAnsi="方正小标宋简体" w:eastAsia="方正小标宋简体" w:cs="方正小标宋简体"/>
          <w:b w:val="0"/>
          <w:bCs/>
          <w:sz w:val="44"/>
          <w:szCs w:val="44"/>
        </w:rPr>
        <w:t>湖南省职业教育与成人教育学会科研规划课题</w:t>
      </w:r>
      <w:r>
        <w:rPr>
          <w:rFonts w:hint="eastAsia" w:ascii="方正小标宋简体" w:hAnsi="方正小标宋简体" w:eastAsia="方正小标宋简体" w:cs="方正小标宋简体"/>
          <w:b w:val="0"/>
          <w:bCs/>
          <w:sz w:val="44"/>
          <w:szCs w:val="44"/>
          <w:lang w:val="en-US"/>
        </w:rPr>
        <w:t>单位管理员信息表</w:t>
      </w:r>
    </w:p>
    <w:p w14:paraId="15A3FF62">
      <w:pPr>
        <w:rPr>
          <w:rFonts w:ascii="Times New Roman" w:hAnsi="Times New Roman" w:cs="Times New Roman"/>
        </w:rPr>
      </w:pPr>
    </w:p>
    <w:p w14:paraId="4F891284">
      <w:pPr>
        <w:pStyle w:val="5"/>
        <w:spacing w:before="4"/>
        <w:rPr>
          <w:rFonts w:ascii="Times New Roman" w:hAnsi="Times New Roman" w:cs="Times New Roman"/>
          <w:sz w:val="10"/>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4"/>
        <w:gridCol w:w="3654"/>
        <w:gridCol w:w="3654"/>
        <w:gridCol w:w="3654"/>
      </w:tblGrid>
      <w:tr w14:paraId="4794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654" w:type="dxa"/>
            <w:vAlign w:val="center"/>
          </w:tcPr>
          <w:p w14:paraId="58982978">
            <w:pPr>
              <w:pStyle w:val="19"/>
              <w:jc w:val="center"/>
              <w:rPr>
                <w:rFonts w:ascii="Times New Roman" w:hAnsi="Times New Roman" w:cs="Times New Roman"/>
                <w:sz w:val="28"/>
                <w:lang w:val="en-US"/>
              </w:rPr>
            </w:pPr>
            <w:r>
              <w:rPr>
                <w:rFonts w:hint="eastAsia" w:ascii="Times New Roman" w:hAnsi="Times New Roman" w:cs="Times New Roman"/>
                <w:sz w:val="28"/>
                <w:lang w:val="en-US"/>
              </w:rPr>
              <w:t>单位</w:t>
            </w:r>
          </w:p>
        </w:tc>
        <w:tc>
          <w:tcPr>
            <w:tcW w:w="3654" w:type="dxa"/>
            <w:vAlign w:val="center"/>
          </w:tcPr>
          <w:p w14:paraId="607BC06D">
            <w:pPr>
              <w:pStyle w:val="19"/>
              <w:jc w:val="center"/>
              <w:rPr>
                <w:rFonts w:ascii="Times New Roman" w:hAnsi="Times New Roman" w:cs="Times New Roman"/>
                <w:sz w:val="28"/>
                <w:lang w:val="en-US"/>
              </w:rPr>
            </w:pPr>
            <w:r>
              <w:rPr>
                <w:rFonts w:hint="eastAsia" w:ascii="Times New Roman" w:hAnsi="Times New Roman" w:cs="Times New Roman"/>
                <w:sz w:val="28"/>
                <w:lang w:val="en-US"/>
              </w:rPr>
              <w:t>管理员姓名</w:t>
            </w:r>
          </w:p>
        </w:tc>
        <w:tc>
          <w:tcPr>
            <w:tcW w:w="3654" w:type="dxa"/>
            <w:vAlign w:val="center"/>
          </w:tcPr>
          <w:p w14:paraId="0691FBA7">
            <w:pPr>
              <w:pStyle w:val="19"/>
              <w:jc w:val="center"/>
              <w:rPr>
                <w:rFonts w:ascii="Times New Roman" w:hAnsi="Times New Roman" w:cs="Times New Roman"/>
                <w:sz w:val="28"/>
                <w:lang w:val="en-US"/>
              </w:rPr>
            </w:pPr>
            <w:r>
              <w:rPr>
                <w:rFonts w:hint="eastAsia" w:ascii="Times New Roman" w:hAnsi="Times New Roman" w:cs="Times New Roman"/>
                <w:sz w:val="28"/>
                <w:lang w:val="en-US"/>
              </w:rPr>
              <w:t>管理员所在部门</w:t>
            </w:r>
          </w:p>
        </w:tc>
        <w:tc>
          <w:tcPr>
            <w:tcW w:w="3654" w:type="dxa"/>
            <w:vAlign w:val="center"/>
          </w:tcPr>
          <w:p w14:paraId="296FF848">
            <w:pPr>
              <w:pStyle w:val="19"/>
              <w:jc w:val="center"/>
              <w:rPr>
                <w:rFonts w:ascii="Times New Roman" w:hAnsi="Times New Roman" w:cs="Times New Roman"/>
                <w:sz w:val="28"/>
                <w:lang w:val="en-US"/>
              </w:rPr>
            </w:pPr>
            <w:r>
              <w:rPr>
                <w:rFonts w:hint="eastAsia" w:ascii="Times New Roman" w:hAnsi="Times New Roman" w:cs="Times New Roman"/>
                <w:sz w:val="28"/>
                <w:lang w:val="en-US"/>
              </w:rPr>
              <w:t>管理员电话</w:t>
            </w:r>
          </w:p>
        </w:tc>
      </w:tr>
      <w:tr w14:paraId="5FC7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654" w:type="dxa"/>
            <w:vAlign w:val="center"/>
          </w:tcPr>
          <w:p w14:paraId="2CFD79D7">
            <w:pPr>
              <w:pStyle w:val="19"/>
              <w:jc w:val="center"/>
              <w:rPr>
                <w:rFonts w:ascii="Times New Roman" w:hAnsi="Times New Roman" w:cs="Times New Roman"/>
                <w:sz w:val="28"/>
                <w:lang w:val="en-US"/>
              </w:rPr>
            </w:pPr>
          </w:p>
        </w:tc>
        <w:tc>
          <w:tcPr>
            <w:tcW w:w="3654" w:type="dxa"/>
            <w:vAlign w:val="center"/>
          </w:tcPr>
          <w:p w14:paraId="1337FA49">
            <w:pPr>
              <w:pStyle w:val="19"/>
              <w:jc w:val="center"/>
              <w:rPr>
                <w:rFonts w:ascii="Times New Roman" w:hAnsi="Times New Roman" w:cs="Times New Roman"/>
                <w:sz w:val="28"/>
                <w:lang w:val="en-US"/>
              </w:rPr>
            </w:pPr>
          </w:p>
        </w:tc>
        <w:tc>
          <w:tcPr>
            <w:tcW w:w="3654" w:type="dxa"/>
            <w:vAlign w:val="center"/>
          </w:tcPr>
          <w:p w14:paraId="65897971">
            <w:pPr>
              <w:pStyle w:val="19"/>
              <w:jc w:val="center"/>
              <w:rPr>
                <w:rFonts w:ascii="Times New Roman" w:hAnsi="Times New Roman" w:cs="Times New Roman"/>
                <w:sz w:val="28"/>
                <w:lang w:val="en-US"/>
              </w:rPr>
            </w:pPr>
          </w:p>
        </w:tc>
        <w:tc>
          <w:tcPr>
            <w:tcW w:w="3654" w:type="dxa"/>
            <w:vAlign w:val="center"/>
          </w:tcPr>
          <w:p w14:paraId="6604C35C">
            <w:pPr>
              <w:pStyle w:val="19"/>
              <w:jc w:val="center"/>
              <w:rPr>
                <w:rFonts w:ascii="Times New Roman" w:hAnsi="Times New Roman" w:cs="Times New Roman"/>
                <w:sz w:val="28"/>
                <w:lang w:val="en-US"/>
              </w:rPr>
            </w:pPr>
          </w:p>
        </w:tc>
      </w:tr>
    </w:tbl>
    <w:p w14:paraId="7DFE0EF1">
      <w:pPr>
        <w:pStyle w:val="19"/>
        <w:rPr>
          <w:rFonts w:ascii="Times New Roman" w:hAnsi="Times New Roman" w:cs="Times New Roman"/>
          <w:sz w:val="28"/>
          <w:lang w:val="en-US"/>
        </w:rPr>
        <w:sectPr>
          <w:pgSz w:w="16838" w:h="11906" w:orient="landscape"/>
          <w:pgMar w:top="1418" w:right="1134" w:bottom="1418" w:left="1134" w:header="851" w:footer="992" w:gutter="0"/>
          <w:cols w:space="720" w:num="1"/>
          <w:docGrid w:type="lines" w:linePitch="312" w:charSpace="0"/>
        </w:sectPr>
      </w:pPr>
    </w:p>
    <w:p w14:paraId="48FD1CB2">
      <w:pPr>
        <w:pStyle w:val="19"/>
        <w:rPr>
          <w:rFonts w:ascii="Times New Roman" w:hAnsi="Times New Roman" w:cs="Times New Roman"/>
          <w:sz w:val="28"/>
          <w:lang w:val="en-US"/>
        </w:rPr>
      </w:pPr>
      <w:r>
        <w:rPr>
          <w:rFonts w:hint="eastAsia" w:ascii="等线" w:hAnsi="等线" w:eastAsia="等线" w:cs="等线"/>
          <w:b/>
          <w:bCs/>
          <w:color w:val="FFFFFF" w:themeColor="background1"/>
          <w14:textFill>
            <w14:solidFill>
              <w14:schemeClr w14:val="bg1"/>
            </w14:solidFill>
          </w14:textFill>
        </w:rPr>
        <w:drawing>
          <wp:anchor distT="0" distB="0" distL="114300" distR="114300" simplePos="0" relativeHeight="251660288" behindDoc="1" locked="0" layoutInCell="1" allowOverlap="1">
            <wp:simplePos x="0" y="0"/>
            <wp:positionH relativeFrom="column">
              <wp:posOffset>-969010</wp:posOffset>
            </wp:positionH>
            <wp:positionV relativeFrom="page">
              <wp:posOffset>3810</wp:posOffset>
            </wp:positionV>
            <wp:extent cx="7831455" cy="10697845"/>
            <wp:effectExtent l="0" t="0" r="17145" b="8255"/>
            <wp:wrapNone/>
            <wp:docPr id="64" name="图片 64" descr="C:\Users\Administrator\Desktop\578d8dd91d602.jpg578d8dd91d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C:\Users\Administrator\Desktop\578d8dd91d602.jpg578d8dd91d602"/>
                    <pic:cNvPicPr>
                      <a:picLocks noChangeAspect="1"/>
                    </pic:cNvPicPr>
                  </pic:nvPicPr>
                  <pic:blipFill>
                    <a:blip r:embed="rId9"/>
                    <a:srcRect/>
                    <a:stretch>
                      <a:fillRect/>
                    </a:stretch>
                  </pic:blipFill>
                  <pic:spPr>
                    <a:xfrm>
                      <a:off x="0" y="0"/>
                      <a:ext cx="7831455" cy="10697845"/>
                    </a:xfrm>
                    <a:prstGeom prst="rect">
                      <a:avLst/>
                    </a:prstGeom>
                  </pic:spPr>
                </pic:pic>
              </a:graphicData>
            </a:graphic>
          </wp:anchor>
        </w:drawing>
      </w:r>
      <w:r>
        <w:rPr>
          <w:sz w:val="28"/>
        </w:rPr>
        <mc:AlternateContent>
          <mc:Choice Requires="wps">
            <w:drawing>
              <wp:anchor distT="0" distB="0" distL="114300" distR="114300" simplePos="0" relativeHeight="251661312" behindDoc="0" locked="0" layoutInCell="1" allowOverlap="1">
                <wp:simplePos x="0" y="0"/>
                <wp:positionH relativeFrom="column">
                  <wp:posOffset>-544195</wp:posOffset>
                </wp:positionH>
                <wp:positionV relativeFrom="paragraph">
                  <wp:posOffset>-329565</wp:posOffset>
                </wp:positionV>
                <wp:extent cx="1485900" cy="523875"/>
                <wp:effectExtent l="0" t="0" r="0" b="0"/>
                <wp:wrapNone/>
                <wp:docPr id="1" name="文本框 1"/>
                <wp:cNvGraphicFramePr/>
                <a:graphic xmlns:a="http://schemas.openxmlformats.org/drawingml/2006/main">
                  <a:graphicData uri="http://schemas.microsoft.com/office/word/2010/wordprocessingShape">
                    <wps:wsp>
                      <wps:cNvSpPr txBox="1"/>
                      <wps:spPr>
                        <a:xfrm>
                          <a:off x="356235" y="390525"/>
                          <a:ext cx="1485900" cy="5238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0C68E">
                            <w:pPr>
                              <w:pStyle w:val="5"/>
                              <w:spacing w:before="41"/>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85pt;margin-top:-25.95pt;height:41.25pt;width:117pt;z-index:251661312;mso-width-relative:page;mso-height-relative:page;" filled="f" stroked="f" coordsize="21600,21600" o:gfxdata="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Nnx/dsAAAAKAQAADwAAAAAAAAAB&#10;ACAAAAAiAAAAZHJzL2Rvd25yZXYueG1sUEsBAhQAFAAAAAgAh07iQMMWulNGAgAAcAQAAA4AAAAA&#10;AAAAAQAgAAAAKgEAAGRycy9lMm9Eb2MueG1sUEsFBgAAAAAGAAYAWQEAAOIFAAAAAA==&#10;">
                <v:fill on="f" focussize="0,0"/>
                <v:stroke on="f" weight="0.5pt"/>
                <v:imagedata o:title=""/>
                <o:lock v:ext="edit" aspectratio="f"/>
                <v:textbox>
                  <w:txbxContent>
                    <w:p w14:paraId="51C0C68E">
                      <w:pPr>
                        <w:pStyle w:val="5"/>
                        <w:spacing w:before="41"/>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附件五：</w:t>
                      </w:r>
                    </w:p>
                  </w:txbxContent>
                </v:textbox>
              </v:shape>
            </w:pict>
          </mc:Fallback>
        </mc:AlternateContent>
      </w:r>
    </w:p>
    <w:p w14:paraId="2C4DEFDB">
      <w:pPr>
        <w:pStyle w:val="5"/>
        <w:rPr>
          <w:rFonts w:ascii="Times New Roman" w:hAnsi="Times New Roman" w:cs="Times New Roman"/>
          <w:sz w:val="20"/>
        </w:rPr>
      </w:pPr>
    </w:p>
    <w:p w14:paraId="744F9DAE">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760BB688">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7D16858F">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0DD2F181">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18789FCE">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28B76C0D">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58652633">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60B9C68D">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default" w:ascii="等线" w:hAnsi="等线" w:eastAsia="等线" w:cs="等线"/>
          <w:sz w:val="72"/>
          <w:szCs w:val="72"/>
          <w:lang w:val="en-US" w:eastAsia="zh-CN"/>
        </w:rPr>
      </w:pPr>
      <w:r>
        <w:rPr>
          <w:rFonts w:hint="eastAsia" w:ascii="等线" w:hAnsi="等线" w:eastAsia="等线" w:cs="等线"/>
          <w:sz w:val="72"/>
          <w:szCs w:val="72"/>
          <w:lang w:val="en-US" w:eastAsia="zh-CN"/>
        </w:rPr>
        <w:t>学会科研管理系统-优秀论文申报</w:t>
      </w:r>
    </w:p>
    <w:p w14:paraId="54E9033A">
      <w:pPr>
        <w:jc w:val="center"/>
        <w:rPr>
          <w:rFonts w:hint="eastAsia" w:ascii="等线" w:hAnsi="等线" w:eastAsia="等线" w:cs="等线"/>
          <w:sz w:val="72"/>
          <w:szCs w:val="72"/>
          <w:lang w:val="en-US" w:eastAsia="zh-CN"/>
        </w:rPr>
      </w:pPr>
      <w:r>
        <w:rPr>
          <w:rFonts w:hint="eastAsia" w:ascii="等线" w:hAnsi="等线" w:eastAsia="等线" w:cs="等线"/>
          <w:sz w:val="72"/>
          <w:szCs w:val="72"/>
          <w:lang w:eastAsia="zh-CN"/>
        </w:rPr>
        <w:t>【</w:t>
      </w:r>
      <w:r>
        <w:rPr>
          <w:rFonts w:hint="eastAsia" w:ascii="等线" w:hAnsi="等线" w:eastAsia="等线" w:cs="等线"/>
          <w:sz w:val="72"/>
          <w:szCs w:val="72"/>
          <w:lang w:val="en-US" w:eastAsia="zh-CN"/>
        </w:rPr>
        <w:t>申报老师</w:t>
      </w:r>
      <w:r>
        <w:rPr>
          <w:rFonts w:hint="eastAsia" w:ascii="等线" w:hAnsi="等线" w:eastAsia="等线" w:cs="等线"/>
          <w:sz w:val="72"/>
          <w:szCs w:val="72"/>
          <w:lang w:eastAsia="zh-CN"/>
        </w:rPr>
        <w:t>】</w:t>
      </w:r>
      <w:r>
        <w:rPr>
          <w:rFonts w:hint="eastAsia" w:ascii="等线" w:hAnsi="等线" w:eastAsia="等线" w:cs="等线"/>
          <w:sz w:val="72"/>
          <w:szCs w:val="72"/>
          <w:lang w:val="en-US" w:eastAsia="zh-CN"/>
        </w:rPr>
        <w:t>操作手册</w:t>
      </w:r>
    </w:p>
    <w:p w14:paraId="42DE3873">
      <w:pPr>
        <w:pStyle w:val="3"/>
        <w:pageBreakBefore w:val="0"/>
        <w:numPr>
          <w:ilvl w:val="0"/>
          <w:numId w:val="2"/>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等线" w:hAnsi="等线" w:eastAsia="等线" w:cs="等线"/>
          <w:b w:val="0"/>
          <w:lang w:val="en-US" w:eastAsia="zh-CN"/>
        </w:rPr>
      </w:pPr>
      <w:bookmarkStart w:id="0" w:name="_Toc6603"/>
      <w:r>
        <w:rPr>
          <w:rFonts w:hint="eastAsia" w:ascii="等线" w:hAnsi="等线" w:cs="等线"/>
          <w:lang w:val="en-US" w:eastAsia="zh-CN"/>
        </w:rPr>
        <w:t>优秀论文</w:t>
      </w:r>
      <w:r>
        <w:rPr>
          <w:rFonts w:hint="eastAsia" w:ascii="等线" w:hAnsi="等线" w:eastAsia="等线" w:cs="等线"/>
          <w:lang w:val="en-US" w:eastAsia="zh-CN"/>
        </w:rPr>
        <w:t>申报</w:t>
      </w:r>
      <w:bookmarkEnd w:id="0"/>
    </w:p>
    <w:p w14:paraId="00C03F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申报老师使用本单位提供的账号登录系统（地址：http://xmgl.hsvae.com/jgxmgl/#/login），登录成功后会跳转至申报人首页；</w:t>
      </w:r>
    </w:p>
    <w:p w14:paraId="5300F73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等线" w:hAnsi="等线" w:eastAsia="等线" w:cs="等线"/>
          <w:lang w:val="en-US" w:eastAsia="zh-CN"/>
        </w:rPr>
      </w:pPr>
      <w:r>
        <w:drawing>
          <wp:inline distT="0" distB="0" distL="114300" distR="114300">
            <wp:extent cx="5266690" cy="2583815"/>
            <wp:effectExtent l="9525" t="9525" r="19685" b="1651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0"/>
                    <a:stretch>
                      <a:fillRect/>
                    </a:stretch>
                  </pic:blipFill>
                  <pic:spPr>
                    <a:xfrm>
                      <a:off x="0" y="0"/>
                      <a:ext cx="5266690" cy="2583815"/>
                    </a:xfrm>
                    <a:prstGeom prst="rect">
                      <a:avLst/>
                    </a:prstGeom>
                    <a:noFill/>
                    <a:ln>
                      <a:solidFill>
                        <a:schemeClr val="bg1">
                          <a:lumMod val="95000"/>
                        </a:schemeClr>
                      </a:solidFill>
                    </a:ln>
                  </pic:spPr>
                </pic:pic>
              </a:graphicData>
            </a:graphic>
          </wp:inline>
        </w:drawing>
      </w:r>
    </w:p>
    <w:p w14:paraId="351C70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首页右侧为优秀论文申报计划区域，找到【2024年湖南省职业教育与成人教育优秀论文评选】申报计划。</w:t>
      </w:r>
    </w:p>
    <w:p w14:paraId="79DC7DF2">
      <w:pPr>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等线" w:hAnsi="等线" w:eastAsia="等线" w:cs="等线"/>
        </w:rPr>
      </w:pPr>
      <w:r>
        <w:drawing>
          <wp:inline distT="0" distB="0" distL="114300" distR="114300">
            <wp:extent cx="5258435" cy="2577465"/>
            <wp:effectExtent l="9525" t="9525" r="27940" b="2286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1"/>
                    <a:stretch>
                      <a:fillRect/>
                    </a:stretch>
                  </pic:blipFill>
                  <pic:spPr>
                    <a:xfrm>
                      <a:off x="0" y="0"/>
                      <a:ext cx="5258435" cy="2577465"/>
                    </a:xfrm>
                    <a:prstGeom prst="rect">
                      <a:avLst/>
                    </a:prstGeom>
                    <a:noFill/>
                    <a:ln>
                      <a:solidFill>
                        <a:schemeClr val="bg1">
                          <a:lumMod val="95000"/>
                        </a:schemeClr>
                      </a:solidFill>
                    </a:ln>
                  </pic:spPr>
                </pic:pic>
              </a:graphicData>
            </a:graphic>
          </wp:inline>
        </w:drawing>
      </w:r>
    </w:p>
    <w:p w14:paraId="7A5A0D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在申报计划规定的申报时间内</w:t>
      </w:r>
      <w:r>
        <w:rPr>
          <w:rFonts w:hint="eastAsia" w:ascii="等线" w:hAnsi="等线" w:eastAsia="等线" w:cs="等线"/>
          <w:b w:val="0"/>
          <w:bCs w:val="0"/>
          <w:color w:val="FF0000"/>
          <w:sz w:val="24"/>
          <w:szCs w:val="24"/>
          <w:lang w:val="en-US" w:eastAsia="zh-CN"/>
        </w:rPr>
        <w:t>（超过时间不可申报）</w:t>
      </w:r>
      <w:r>
        <w:rPr>
          <w:rFonts w:hint="eastAsia" w:ascii="等线" w:hAnsi="等线" w:eastAsia="等线" w:cs="等线"/>
          <w:b w:val="0"/>
          <w:bCs w:val="0"/>
          <w:sz w:val="24"/>
          <w:szCs w:val="24"/>
          <w:lang w:val="en-US" w:eastAsia="zh-CN"/>
        </w:rPr>
        <w:t>，点击【申报项目】按钮，可以打开优秀论文申报窗口，填写完相关信息、上传附件后，点击【暂存】按钮可以将当前申报的论文信息暂存草稿（暂存草稿的论文可以再次编辑信息）；点击【提交】按钮可以将当前申报的论文直接提交送审。</w:t>
      </w:r>
    </w:p>
    <w:p w14:paraId="2133F4B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等线" w:hAnsi="等线" w:eastAsia="等线" w:cs="等线"/>
        </w:rPr>
      </w:pPr>
      <w:r>
        <w:drawing>
          <wp:inline distT="0" distB="0" distL="114300" distR="114300">
            <wp:extent cx="5264150" cy="2583180"/>
            <wp:effectExtent l="0" t="0" r="12700" b="762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12"/>
                    <a:stretch>
                      <a:fillRect/>
                    </a:stretch>
                  </pic:blipFill>
                  <pic:spPr>
                    <a:xfrm>
                      <a:off x="0" y="0"/>
                      <a:ext cx="5264150" cy="2583180"/>
                    </a:xfrm>
                    <a:prstGeom prst="rect">
                      <a:avLst/>
                    </a:prstGeom>
                    <a:noFill/>
                    <a:ln>
                      <a:noFill/>
                    </a:ln>
                  </pic:spPr>
                </pic:pic>
              </a:graphicData>
            </a:graphic>
          </wp:inline>
        </w:drawing>
      </w:r>
    </w:p>
    <w:p w14:paraId="40EE56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等线" w:hAnsi="等线" w:eastAsia="等线" w:cs="等线"/>
          <w:b/>
          <w:bCs/>
          <w:color w:val="FF0000"/>
          <w:sz w:val="28"/>
          <w:szCs w:val="28"/>
          <w:lang w:val="en-US" w:eastAsia="zh-CN"/>
        </w:rPr>
      </w:pPr>
      <w:r>
        <w:rPr>
          <w:rFonts w:hint="eastAsia" w:ascii="等线" w:hAnsi="等线" w:eastAsia="等线" w:cs="等线"/>
          <w:b/>
          <w:bCs/>
          <w:color w:val="FF0000"/>
          <w:sz w:val="28"/>
          <w:szCs w:val="28"/>
          <w:lang w:val="en-US" w:eastAsia="zh-CN"/>
        </w:rPr>
        <w:t>（请各位老师务必仔细查看本张截图中的红色字体。按照要求填写）</w:t>
      </w:r>
    </w:p>
    <w:p w14:paraId="2744C2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等线" w:hAnsi="等线" w:eastAsia="等线" w:cs="等线"/>
        </w:rPr>
      </w:pPr>
      <w:r>
        <w:rPr>
          <w:rFonts w:hint="eastAsia" w:ascii="等线" w:hAnsi="等线" w:eastAsia="等线" w:cs="等线"/>
          <w:b w:val="0"/>
          <w:bCs w:val="0"/>
          <w:sz w:val="24"/>
          <w:szCs w:val="24"/>
          <w:lang w:val="en-US" w:eastAsia="zh-CN"/>
        </w:rPr>
        <w:t>提交送审后，论文将会进入形式审核流程，申报老师在系统首页可随时查看论文当前的审核状态。</w:t>
      </w:r>
    </w:p>
    <w:p w14:paraId="3BB1F7E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等线" w:hAnsi="等线" w:eastAsia="等线" w:cs="等线"/>
        </w:rPr>
      </w:pPr>
      <w:r>
        <w:drawing>
          <wp:inline distT="0" distB="0" distL="114300" distR="114300">
            <wp:extent cx="5266690" cy="2583815"/>
            <wp:effectExtent l="9525" t="9525" r="19685" b="1651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3"/>
                    <a:stretch>
                      <a:fillRect/>
                    </a:stretch>
                  </pic:blipFill>
                  <pic:spPr>
                    <a:xfrm>
                      <a:off x="0" y="0"/>
                      <a:ext cx="5266690" cy="2583815"/>
                    </a:xfrm>
                    <a:prstGeom prst="rect">
                      <a:avLst/>
                    </a:prstGeom>
                    <a:noFill/>
                    <a:ln>
                      <a:solidFill>
                        <a:schemeClr val="bg1">
                          <a:lumMod val="95000"/>
                        </a:schemeClr>
                      </a:solidFill>
                    </a:ln>
                  </pic:spPr>
                </pic:pic>
              </a:graphicData>
            </a:graphic>
          </wp:inline>
        </w:drawing>
      </w:r>
    </w:p>
    <w:p w14:paraId="37F3F2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如果发现送审的论文信息有误，在下一个审核节点没有审核的情况下，申报老师可以通过点击【撤回】按钮将已送审的申报记录撤回。申报记录撤回后变为草稿状态，申报老师可以通过点击【编辑申报】按钮修改论文信息，修改完成后再次提交送审即可。</w:t>
      </w:r>
    </w:p>
    <w:p w14:paraId="67C1B22E">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等线" w:hAnsi="等线" w:eastAsia="等线" w:cs="等线"/>
          <w:lang w:val="en-US" w:eastAsia="zh-CN"/>
        </w:rPr>
      </w:pPr>
      <w:r>
        <w:drawing>
          <wp:inline distT="0" distB="0" distL="114300" distR="114300">
            <wp:extent cx="5266690" cy="2583815"/>
            <wp:effectExtent l="9525" t="9525" r="19685" b="1651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14"/>
                    <a:stretch>
                      <a:fillRect/>
                    </a:stretch>
                  </pic:blipFill>
                  <pic:spPr>
                    <a:xfrm>
                      <a:off x="0" y="0"/>
                      <a:ext cx="5266690" cy="2583815"/>
                    </a:xfrm>
                    <a:prstGeom prst="rect">
                      <a:avLst/>
                    </a:prstGeom>
                    <a:noFill/>
                    <a:ln>
                      <a:solidFill>
                        <a:schemeClr val="bg1">
                          <a:lumMod val="95000"/>
                        </a:schemeClr>
                      </a:solidFill>
                    </a:ln>
                  </pic:spPr>
                </pic:pic>
              </a:graphicData>
            </a:graphic>
          </wp:inline>
        </w:drawing>
      </w:r>
    </w:p>
    <w:p w14:paraId="391CA5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等线" w:hAnsi="等线" w:eastAsia="等线" w:cs="等线"/>
          <w:lang w:val="en-US" w:eastAsia="zh-CN"/>
        </w:rPr>
      </w:pPr>
      <w:r>
        <w:rPr>
          <w:rFonts w:hint="eastAsia" w:ascii="等线" w:hAnsi="等线" w:eastAsia="等线" w:cs="等线"/>
          <w:b w:val="0"/>
          <w:bCs w:val="0"/>
          <w:sz w:val="24"/>
          <w:szCs w:val="24"/>
          <w:lang w:val="en-US" w:eastAsia="zh-CN"/>
        </w:rPr>
        <w:t>撤回后如果不想再申报了，也可以点击【删除】按钮删除申报记录。</w:t>
      </w:r>
    </w:p>
    <w:p w14:paraId="4EB2C67A">
      <w:pPr>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等线" w:hAnsi="等线" w:eastAsia="等线" w:cs="等线"/>
          <w:b w:val="0"/>
          <w:bCs w:val="0"/>
          <w:sz w:val="24"/>
          <w:szCs w:val="24"/>
          <w:lang w:val="en-US" w:eastAsia="zh-CN"/>
        </w:rPr>
      </w:pPr>
      <w:r>
        <w:drawing>
          <wp:inline distT="0" distB="0" distL="114300" distR="114300">
            <wp:extent cx="5266690" cy="2583815"/>
            <wp:effectExtent l="9525" t="9525" r="19685" b="16510"/>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15"/>
                    <a:stretch>
                      <a:fillRect/>
                    </a:stretch>
                  </pic:blipFill>
                  <pic:spPr>
                    <a:xfrm>
                      <a:off x="0" y="0"/>
                      <a:ext cx="5266690" cy="2583815"/>
                    </a:xfrm>
                    <a:prstGeom prst="rect">
                      <a:avLst/>
                    </a:prstGeom>
                    <a:noFill/>
                    <a:ln>
                      <a:solidFill>
                        <a:schemeClr val="bg1">
                          <a:lumMod val="95000"/>
                        </a:schemeClr>
                      </a:solidFill>
                    </a:ln>
                  </pic:spPr>
                </pic:pic>
              </a:graphicData>
            </a:graphic>
          </wp:inline>
        </w:drawing>
      </w:r>
    </w:p>
    <w:p w14:paraId="40AA5C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提交送审后，如果审核人发现信息或资料不合格，可能会将论文【退回】修改，退回后，点击【查看—&gt;阶段审核】可以查看被退回的原因</w:t>
      </w:r>
    </w:p>
    <w:p w14:paraId="0D308855">
      <w:pPr>
        <w:bidi w:val="0"/>
        <w:ind w:left="0" w:leftChars="0" w:firstLine="0" w:firstLineChars="0"/>
        <w:jc w:val="center"/>
      </w:pPr>
      <w:r>
        <w:drawing>
          <wp:inline distT="0" distB="0" distL="114300" distR="114300">
            <wp:extent cx="5266690" cy="2583815"/>
            <wp:effectExtent l="0" t="0" r="10160" b="6985"/>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pic:cNvPicPr>
                  </pic:nvPicPr>
                  <pic:blipFill>
                    <a:blip r:embed="rId16"/>
                    <a:stretch>
                      <a:fillRect/>
                    </a:stretch>
                  </pic:blipFill>
                  <pic:spPr>
                    <a:xfrm>
                      <a:off x="0" y="0"/>
                      <a:ext cx="5266690" cy="2583815"/>
                    </a:xfrm>
                    <a:prstGeom prst="rect">
                      <a:avLst/>
                    </a:prstGeom>
                    <a:noFill/>
                    <a:ln>
                      <a:noFill/>
                    </a:ln>
                  </pic:spPr>
                </pic:pic>
              </a:graphicData>
            </a:graphic>
          </wp:inline>
        </w:drawing>
      </w:r>
    </w:p>
    <w:p w14:paraId="7F70E8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lang w:val="en-US" w:eastAsia="zh-CN"/>
        </w:rPr>
      </w:pPr>
      <w:r>
        <w:rPr>
          <w:rFonts w:hint="eastAsia" w:ascii="等线" w:hAnsi="等线" w:eastAsia="等线" w:cs="等线"/>
          <w:b w:val="0"/>
          <w:bCs w:val="0"/>
          <w:sz w:val="24"/>
          <w:szCs w:val="24"/>
          <w:lang w:val="en-US" w:eastAsia="zh-CN"/>
        </w:rPr>
        <w:t>点击【编辑申报】按钮可修改论文信息，修改完成后再次提交送审即可。</w:t>
      </w:r>
    </w:p>
    <w:p w14:paraId="4C7DA3CF">
      <w:pPr>
        <w:bidi w:val="0"/>
        <w:ind w:left="0" w:leftChars="0" w:firstLine="0" w:firstLineChars="0"/>
        <w:jc w:val="center"/>
        <w:rPr>
          <w:rFonts w:hint="default"/>
          <w:lang w:val="en-US" w:eastAsia="zh-CN"/>
        </w:rPr>
      </w:pPr>
      <w:r>
        <w:drawing>
          <wp:inline distT="0" distB="0" distL="114300" distR="114300">
            <wp:extent cx="5266690" cy="2583815"/>
            <wp:effectExtent l="9525" t="9525" r="19685" b="16510"/>
            <wp:docPr id="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
                    <pic:cNvPicPr>
                      <a:picLocks noChangeAspect="1"/>
                    </pic:cNvPicPr>
                  </pic:nvPicPr>
                  <pic:blipFill>
                    <a:blip r:embed="rId17"/>
                    <a:stretch>
                      <a:fillRect/>
                    </a:stretch>
                  </pic:blipFill>
                  <pic:spPr>
                    <a:xfrm>
                      <a:off x="0" y="0"/>
                      <a:ext cx="5266690" cy="2583815"/>
                    </a:xfrm>
                    <a:prstGeom prst="rect">
                      <a:avLst/>
                    </a:prstGeom>
                    <a:noFill/>
                    <a:ln>
                      <a:solidFill>
                        <a:schemeClr val="bg1">
                          <a:lumMod val="95000"/>
                        </a:schemeClr>
                      </a:solidFill>
                    </a:ln>
                  </pic:spPr>
                </pic:pic>
              </a:graphicData>
            </a:graphic>
          </wp:inline>
        </w:drawing>
      </w:r>
    </w:p>
    <w:p w14:paraId="1FBD2D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等线" w:hAnsi="等线" w:eastAsia="等线" w:cs="等线"/>
          <w:lang w:val="en-US" w:eastAsia="zh-CN"/>
        </w:rPr>
      </w:pPr>
      <w:r>
        <w:rPr>
          <w:rFonts w:hint="eastAsia" w:ascii="等线" w:hAnsi="等线" w:eastAsia="等线" w:cs="等线"/>
          <w:b w:val="0"/>
          <w:bCs w:val="0"/>
          <w:sz w:val="24"/>
          <w:szCs w:val="24"/>
          <w:lang w:val="en-US" w:eastAsia="zh-CN"/>
        </w:rPr>
        <w:t>论文审核通过后，会进入线上专家评审流程，评审完成后，将会由学会在QQ群或者其他渠道公布最终的优秀论文评选结果。</w:t>
      </w:r>
    </w:p>
    <w:p w14:paraId="5F0A3838">
      <w:pPr>
        <w:pStyle w:val="5"/>
        <w:spacing w:before="41"/>
        <w:rPr>
          <w:rFonts w:hint="eastAsia" w:ascii="黑体" w:hAnsi="黑体" w:eastAsia="黑体" w:cs="黑体"/>
          <w:sz w:val="32"/>
          <w:szCs w:val="32"/>
          <w:lang w:val="en-US" w:eastAsia="zh-CN"/>
        </w:rPr>
      </w:pPr>
    </w:p>
    <w:p w14:paraId="1ABCA229">
      <w:pPr>
        <w:pStyle w:val="5"/>
        <w:spacing w:before="41"/>
        <w:rPr>
          <w:rFonts w:hint="eastAsia" w:ascii="黑体" w:hAnsi="黑体" w:eastAsia="黑体" w:cs="黑体"/>
          <w:sz w:val="32"/>
          <w:szCs w:val="32"/>
          <w:lang w:val="en-US" w:eastAsia="zh-CN"/>
        </w:rPr>
      </w:pPr>
    </w:p>
    <w:p w14:paraId="5F3F0154">
      <w:pPr>
        <w:pStyle w:val="5"/>
        <w:spacing w:before="41"/>
        <w:rPr>
          <w:rFonts w:hint="default" w:ascii="黑体" w:hAnsi="黑体" w:eastAsia="黑体" w:cs="黑体"/>
          <w:sz w:val="32"/>
          <w:szCs w:val="32"/>
          <w:lang w:val="en-US" w:eastAsia="zh-CN"/>
        </w:rPr>
      </w:pPr>
      <w:r>
        <w:rPr>
          <w:rFonts w:hint="eastAsia" w:ascii="等线" w:hAnsi="等线" w:eastAsia="等线" w:cs="等线"/>
          <w:b/>
          <w:bCs/>
          <w:color w:val="FFFFFF" w:themeColor="background1"/>
          <w14:textFill>
            <w14:solidFill>
              <w14:schemeClr w14:val="bg1"/>
            </w14:solidFill>
          </w14:textFill>
        </w:rPr>
        <w:drawing>
          <wp:anchor distT="0" distB="0" distL="114300" distR="114300" simplePos="0" relativeHeight="251662336" behindDoc="1" locked="0" layoutInCell="1" allowOverlap="1">
            <wp:simplePos x="0" y="0"/>
            <wp:positionH relativeFrom="column">
              <wp:posOffset>-1226185</wp:posOffset>
            </wp:positionH>
            <wp:positionV relativeFrom="page">
              <wp:posOffset>-15240</wp:posOffset>
            </wp:positionV>
            <wp:extent cx="7831455" cy="10697845"/>
            <wp:effectExtent l="0" t="0" r="17145" b="8255"/>
            <wp:wrapNone/>
            <wp:docPr id="2" name="图片 2" descr="C:\Users\Administrator\Desktop\578d8dd91d602.jpg578d8dd91d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578d8dd91d602.jpg578d8dd91d602"/>
                    <pic:cNvPicPr>
                      <a:picLocks noChangeAspect="1"/>
                    </pic:cNvPicPr>
                  </pic:nvPicPr>
                  <pic:blipFill>
                    <a:blip r:embed="rId9"/>
                    <a:srcRect/>
                    <a:stretch>
                      <a:fillRect/>
                    </a:stretch>
                  </pic:blipFill>
                  <pic:spPr>
                    <a:xfrm>
                      <a:off x="0" y="0"/>
                      <a:ext cx="7831455" cy="10697845"/>
                    </a:xfrm>
                    <a:prstGeom prst="rect">
                      <a:avLst/>
                    </a:prstGeom>
                  </pic:spPr>
                </pic:pic>
              </a:graphicData>
            </a:graphic>
          </wp:anchor>
        </w:drawing>
      </w:r>
      <w:r>
        <w:rPr>
          <w:rFonts w:hint="eastAsia" w:ascii="黑体" w:hAnsi="黑体" w:eastAsia="黑体" w:cs="黑体"/>
          <w:sz w:val="32"/>
          <w:szCs w:val="32"/>
          <w:lang w:val="en-US" w:eastAsia="zh-CN"/>
        </w:rPr>
        <w:t>附件六：</w:t>
      </w:r>
    </w:p>
    <w:p w14:paraId="0550CA56">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376E6DBC">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33EA26DB">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2A245075">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5D63CDBF">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36AEB971">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23BE03F1">
      <w:pPr>
        <w:pageBreakBefore w:val="0"/>
        <w:kinsoku/>
        <w:wordWrap/>
        <w:overflowPunct/>
        <w:topLinePunct w:val="0"/>
        <w:autoSpaceDE/>
        <w:autoSpaceDN/>
        <w:bidi w:val="0"/>
        <w:adjustRightInd/>
        <w:snapToGrid/>
        <w:spacing w:line="360" w:lineRule="auto"/>
        <w:ind w:left="-1260" w:leftChars="-600" w:right="-1153" w:rightChars="-549" w:firstLine="0" w:firstLineChars="0"/>
        <w:jc w:val="right"/>
        <w:textAlignment w:val="auto"/>
        <w:rPr>
          <w:rFonts w:hint="eastAsia" w:ascii="等线" w:hAnsi="等线" w:eastAsia="等线" w:cs="等线"/>
          <w:sz w:val="72"/>
          <w:szCs w:val="72"/>
          <w:lang w:val="en-US" w:eastAsia="zh-CN"/>
        </w:rPr>
      </w:pPr>
    </w:p>
    <w:p w14:paraId="0E77C7F0">
      <w:pPr>
        <w:pageBreakBefore w:val="0"/>
        <w:kinsoku/>
        <w:wordWrap/>
        <w:overflowPunct/>
        <w:topLinePunct w:val="0"/>
        <w:autoSpaceDE/>
        <w:autoSpaceDN/>
        <w:bidi w:val="0"/>
        <w:adjustRightInd/>
        <w:snapToGrid/>
        <w:spacing w:line="360" w:lineRule="auto"/>
        <w:ind w:left="-1260" w:leftChars="-600" w:right="-1153" w:rightChars="-549" w:firstLine="0" w:firstLineChars="0"/>
        <w:jc w:val="center"/>
        <w:textAlignment w:val="auto"/>
        <w:rPr>
          <w:rFonts w:hint="default"/>
          <w:lang w:val="en-US" w:eastAsia="zh-CN"/>
        </w:rPr>
      </w:pPr>
      <w:r>
        <w:rPr>
          <w:rFonts w:hint="eastAsia" w:ascii="等线" w:hAnsi="等线" w:eastAsia="等线" w:cs="等线"/>
          <w:sz w:val="72"/>
          <w:szCs w:val="72"/>
          <w:lang w:val="en-US" w:eastAsia="zh-CN"/>
        </w:rPr>
        <w:t>学会科研管理系统-优秀论文申报</w:t>
      </w:r>
      <w:r>
        <w:rPr>
          <w:rFonts w:hint="eastAsia" w:ascii="等线" w:hAnsi="等线" w:eastAsia="等线" w:cs="等线"/>
          <w:sz w:val="72"/>
          <w:szCs w:val="72"/>
          <w:lang w:eastAsia="zh-CN"/>
        </w:rPr>
        <w:t>【</w:t>
      </w:r>
      <w:r>
        <w:rPr>
          <w:rFonts w:hint="eastAsia" w:ascii="等线" w:hAnsi="等线" w:eastAsia="等线" w:cs="等线"/>
          <w:sz w:val="72"/>
          <w:szCs w:val="72"/>
          <w:lang w:val="en-US" w:eastAsia="zh-CN"/>
        </w:rPr>
        <w:t>会员单位管理员</w:t>
      </w:r>
      <w:r>
        <w:rPr>
          <w:rFonts w:hint="eastAsia" w:ascii="等线" w:hAnsi="等线" w:eastAsia="等线" w:cs="等线"/>
          <w:sz w:val="72"/>
          <w:szCs w:val="72"/>
          <w:lang w:eastAsia="zh-CN"/>
        </w:rPr>
        <w:t>】</w:t>
      </w:r>
      <w:r>
        <w:rPr>
          <w:rFonts w:hint="eastAsia" w:ascii="等线" w:hAnsi="等线" w:eastAsia="等线" w:cs="等线"/>
          <w:sz w:val="72"/>
          <w:szCs w:val="72"/>
          <w:lang w:val="en-US" w:eastAsia="zh-CN"/>
        </w:rPr>
        <w:t>操作手册</w:t>
      </w:r>
    </w:p>
    <w:p w14:paraId="25E6189D">
      <w:pPr>
        <w:pStyle w:val="3"/>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等线" w:hAnsi="等线" w:eastAsia="等线" w:cs="等线"/>
          <w:b/>
          <w:kern w:val="44"/>
          <w:sz w:val="28"/>
          <w:szCs w:val="22"/>
          <w:lang w:val="en-US" w:eastAsia="zh-CN" w:bidi="ar-SA"/>
        </w:rPr>
      </w:pPr>
      <w:bookmarkStart w:id="1" w:name="_Toc12663"/>
    </w:p>
    <w:p w14:paraId="11DC3969">
      <w:pPr>
        <w:pStyle w:val="3"/>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等线" w:hAnsi="等线" w:eastAsia="等线" w:cs="等线"/>
          <w:lang w:val="en-US" w:eastAsia="zh-CN"/>
        </w:rPr>
      </w:pPr>
      <w:r>
        <w:rPr>
          <w:rFonts w:hint="default" w:ascii="等线" w:hAnsi="等线" w:eastAsia="等线" w:cs="等线"/>
          <w:b/>
          <w:kern w:val="44"/>
          <w:sz w:val="28"/>
          <w:szCs w:val="22"/>
          <w:lang w:val="en-US" w:eastAsia="zh-CN" w:bidi="ar-SA"/>
        </w:rPr>
        <w:t>1.</w:t>
      </w:r>
      <w:r>
        <w:rPr>
          <w:rFonts w:hint="eastAsia" w:ascii="等线" w:hAnsi="等线" w:eastAsia="等线" w:cs="等线"/>
          <w:lang w:val="en-US" w:eastAsia="zh-CN"/>
        </w:rPr>
        <w:t>新增/导入本单位申报老师账号</w:t>
      </w:r>
      <w:bookmarkEnd w:id="1"/>
    </w:p>
    <w:p w14:paraId="52A64F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会员单位管理员使用提供的账号登录系统（地址：http://xmgl.hsvae.com/jgxmgl/#/login）：</w:t>
      </w:r>
    </w:p>
    <w:p w14:paraId="31A46E28">
      <w:pPr>
        <w:pageBreakBefore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8"/>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5709E0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进入【基础资源管理-教职工信息】页面：</w:t>
      </w:r>
    </w:p>
    <w:p w14:paraId="1083D876">
      <w:pPr>
        <w:pageBreakBefore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695B75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点击【新增】可以单个增加本单位申报老师账号；</w:t>
      </w:r>
    </w:p>
    <w:p w14:paraId="63070271">
      <w:pPr>
        <w:bidi w:val="0"/>
        <w:ind w:left="0" w:leftChars="0" w:firstLine="0" w:firstLineChars="0"/>
        <w:jc w:val="center"/>
        <w:rPr>
          <w:rFonts w:hint="eastAsia" w:ascii="等线" w:hAnsi="等线" w:eastAsia="等线" w:cs="等线"/>
          <w:lang w:eastAsia="zh-CN"/>
        </w:rPr>
      </w:pPr>
      <w:r>
        <w:rPr>
          <w:rFonts w:hint="eastAsia" w:ascii="等线" w:hAnsi="等线" w:eastAsia="等线" w:cs="等线"/>
        </w:rPr>
        <w:drawing>
          <wp:inline distT="0" distB="0" distL="114300" distR="114300">
            <wp:extent cx="5266690" cy="2583815"/>
            <wp:effectExtent l="9525" t="9525" r="19685" b="165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0"/>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24940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点击【导入】可以批量增加本单位申报老师账号（先下载导入模板，按规则填充数据后上传导入）；</w:t>
      </w:r>
    </w:p>
    <w:p w14:paraId="06A9BE91">
      <w:pPr>
        <w:bidi w:val="0"/>
        <w:ind w:left="0" w:leftChars="0" w:firstLine="0" w:firstLineChars="0"/>
        <w:jc w:val="center"/>
        <w:rPr>
          <w:rFonts w:hint="eastAsia" w:ascii="等线" w:hAnsi="等线" w:eastAsia="等线" w:cs="等线"/>
          <w:lang w:eastAsia="zh-CN"/>
        </w:rPr>
      </w:pPr>
      <w:r>
        <w:rPr>
          <w:rFonts w:hint="eastAsia" w:ascii="等线" w:hAnsi="等线" w:eastAsia="等线" w:cs="等线"/>
        </w:rPr>
        <w:drawing>
          <wp:inline distT="0" distB="0" distL="114300" distR="114300">
            <wp:extent cx="5266690" cy="2583815"/>
            <wp:effectExtent l="9525" t="9525" r="19685" b="1651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1"/>
                    <a:stretch>
                      <a:fillRect/>
                    </a:stretch>
                  </pic:blipFill>
                  <pic:spPr>
                    <a:xfrm>
                      <a:off x="0" y="0"/>
                      <a:ext cx="5266690" cy="2583815"/>
                    </a:xfrm>
                    <a:prstGeom prst="rect">
                      <a:avLst/>
                    </a:prstGeom>
                    <a:noFill/>
                    <a:ln>
                      <a:solidFill>
                        <a:schemeClr val="bg1">
                          <a:lumMod val="85000"/>
                        </a:schemeClr>
                      </a:solidFill>
                    </a:ln>
                  </pic:spPr>
                </pic:pic>
              </a:graphicData>
            </a:graphic>
          </wp:inline>
        </w:drawing>
      </w:r>
      <w:r>
        <w:rPr>
          <w:rFonts w:hint="eastAsia" w:ascii="等线" w:hAnsi="等线" w:eastAsia="等线" w:cs="等线"/>
        </w:rPr>
        <w:drawing>
          <wp:inline distT="0" distB="0" distL="114300" distR="114300">
            <wp:extent cx="5266690" cy="2263140"/>
            <wp:effectExtent l="9525" t="9525" r="19685" b="1333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2"/>
                    <a:stretch>
                      <a:fillRect/>
                    </a:stretch>
                  </pic:blipFill>
                  <pic:spPr>
                    <a:xfrm>
                      <a:off x="0" y="0"/>
                      <a:ext cx="5266690" cy="2263140"/>
                    </a:xfrm>
                    <a:prstGeom prst="rect">
                      <a:avLst/>
                    </a:prstGeom>
                    <a:noFill/>
                    <a:ln>
                      <a:solidFill>
                        <a:schemeClr val="bg1">
                          <a:lumMod val="85000"/>
                        </a:schemeClr>
                      </a:solidFill>
                    </a:ln>
                  </pic:spPr>
                </pic:pic>
              </a:graphicData>
            </a:graphic>
          </wp:inline>
        </w:drawing>
      </w:r>
    </w:p>
    <w:p w14:paraId="4E4167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等线" w:hAnsi="等线" w:eastAsia="等线" w:cs="等线"/>
          <w:b/>
          <w:bCs/>
          <w:color w:val="FF0000"/>
          <w:sz w:val="32"/>
          <w:szCs w:val="32"/>
          <w:lang w:val="en-US" w:eastAsia="zh-CN"/>
        </w:rPr>
      </w:pPr>
      <w:r>
        <w:rPr>
          <w:rFonts w:hint="eastAsia" w:ascii="等线" w:hAnsi="等线" w:eastAsia="等线" w:cs="等线"/>
          <w:b/>
          <w:bCs/>
          <w:color w:val="FF0000"/>
          <w:sz w:val="32"/>
          <w:szCs w:val="32"/>
          <w:lang w:val="en-US" w:eastAsia="zh-CN"/>
        </w:rPr>
        <w:t>注：请不要随意修改、删除其他会员单位的申报老师账号信息。</w:t>
      </w:r>
    </w:p>
    <w:p w14:paraId="40EB21EB">
      <w:pPr>
        <w:pageBreakBefore w:val="0"/>
        <w:numPr>
          <w:ilvl w:val="0"/>
          <w:numId w:val="3"/>
        </w:numPr>
        <w:kinsoku/>
        <w:wordWrap/>
        <w:overflowPunct/>
        <w:topLinePunct w:val="0"/>
        <w:autoSpaceDE/>
        <w:autoSpaceDN/>
        <w:bidi w:val="0"/>
        <w:adjustRightInd/>
        <w:snapToGrid/>
        <w:spacing w:line="360" w:lineRule="auto"/>
        <w:ind w:left="840" w:leftChars="0" w:hanging="420" w:firstLineChars="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审核</w:t>
      </w:r>
    </w:p>
    <w:p w14:paraId="0B66D5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在【项目申报管理—&gt;申报审核】列表，可审核本单位老师提交的论文记录，点击【审核】按钮，弹出审核界面，选择对应审核结果即可审核;勾选多条数据可进行批量审核。</w:t>
      </w:r>
    </w:p>
    <w:p w14:paraId="269C385E">
      <w:pPr>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pPr>
      <w:r>
        <w:drawing>
          <wp:inline distT="0" distB="0" distL="114300" distR="114300">
            <wp:extent cx="5266690" cy="2583815"/>
            <wp:effectExtent l="9525" t="9525" r="19685" b="1651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3"/>
                    <a:stretch>
                      <a:fillRect/>
                    </a:stretch>
                  </pic:blipFill>
                  <pic:spPr>
                    <a:xfrm>
                      <a:off x="0" y="0"/>
                      <a:ext cx="5266690" cy="2583815"/>
                    </a:xfrm>
                    <a:prstGeom prst="rect">
                      <a:avLst/>
                    </a:prstGeom>
                    <a:noFill/>
                    <a:ln>
                      <a:solidFill>
                        <a:schemeClr val="bg1">
                          <a:lumMod val="95000"/>
                        </a:schemeClr>
                      </a:solidFill>
                    </a:ln>
                  </pic:spPr>
                </pic:pic>
              </a:graphicData>
            </a:graphic>
          </wp:inline>
        </w:drawing>
      </w:r>
    </w:p>
    <w:p w14:paraId="6B841996">
      <w:pPr>
        <w:bidi w:val="0"/>
        <w:ind w:left="0" w:leftChars="0" w:firstLine="0" w:firstLineChars="0"/>
        <w:jc w:val="center"/>
      </w:pPr>
      <w:r>
        <w:drawing>
          <wp:inline distT="0" distB="0" distL="114300" distR="114300">
            <wp:extent cx="5266690" cy="2583815"/>
            <wp:effectExtent l="0" t="0" r="10160" b="698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24"/>
                    <a:stretch>
                      <a:fillRect/>
                    </a:stretch>
                  </pic:blipFill>
                  <pic:spPr>
                    <a:xfrm>
                      <a:off x="0" y="0"/>
                      <a:ext cx="5266690" cy="2583815"/>
                    </a:xfrm>
                    <a:prstGeom prst="rect">
                      <a:avLst/>
                    </a:prstGeom>
                    <a:noFill/>
                    <a:ln>
                      <a:noFill/>
                    </a:ln>
                  </pic:spPr>
                </pic:pic>
              </a:graphicData>
            </a:graphic>
          </wp:inline>
        </w:drawing>
      </w:r>
    </w:p>
    <w:p w14:paraId="1D502A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等线" w:hAnsi="等线" w:eastAsia="等线" w:cs="等线"/>
          <w:b w:val="0"/>
          <w:bCs w:val="0"/>
          <w:color w:val="FF0000"/>
          <w:sz w:val="24"/>
          <w:szCs w:val="24"/>
          <w:lang w:val="en-US" w:eastAsia="zh-CN"/>
        </w:rPr>
      </w:pPr>
      <w:r>
        <w:rPr>
          <w:rFonts w:hint="eastAsia" w:ascii="等线" w:hAnsi="等线" w:eastAsia="等线" w:cs="等线"/>
          <w:b w:val="0"/>
          <w:bCs w:val="0"/>
          <w:color w:val="FF0000"/>
          <w:sz w:val="24"/>
          <w:szCs w:val="24"/>
          <w:lang w:val="en-US" w:eastAsia="zh-CN"/>
        </w:rPr>
        <w:t>审核通过：申报老师提交的论文资料无问题，审核通过并流转到学会审核。</w:t>
      </w:r>
    </w:p>
    <w:p w14:paraId="33DD51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等线" w:hAnsi="等线" w:eastAsia="等线" w:cs="等线"/>
          <w:b w:val="0"/>
          <w:bCs w:val="0"/>
          <w:color w:val="FF0000"/>
          <w:sz w:val="24"/>
          <w:szCs w:val="24"/>
          <w:lang w:val="en-US" w:eastAsia="zh-CN"/>
        </w:rPr>
      </w:pPr>
      <w:r>
        <w:rPr>
          <w:rFonts w:hint="eastAsia" w:ascii="等线" w:hAnsi="等线" w:eastAsia="等线" w:cs="等线"/>
          <w:b w:val="0"/>
          <w:bCs w:val="0"/>
          <w:color w:val="FF0000"/>
          <w:sz w:val="24"/>
          <w:szCs w:val="24"/>
          <w:lang w:val="en-US" w:eastAsia="zh-CN"/>
        </w:rPr>
        <w:t>审核不通过：审核不通过的记录，申报老师无法再在此条记录上进行修改和重新送审，一般在审核时极少进行此操作，除非特殊情况。</w:t>
      </w:r>
    </w:p>
    <w:p w14:paraId="2D5BAF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等线" w:hAnsi="等线" w:eastAsia="等线" w:cs="等线"/>
          <w:b w:val="0"/>
          <w:bCs w:val="0"/>
          <w:color w:val="FF0000"/>
          <w:sz w:val="24"/>
          <w:szCs w:val="24"/>
          <w:lang w:val="en-US" w:eastAsia="zh-CN"/>
        </w:rPr>
      </w:pPr>
      <w:r>
        <w:rPr>
          <w:rFonts w:hint="eastAsia" w:ascii="等线" w:hAnsi="等线" w:eastAsia="等线" w:cs="等线"/>
          <w:b w:val="0"/>
          <w:bCs w:val="0"/>
          <w:color w:val="FF0000"/>
          <w:sz w:val="24"/>
          <w:szCs w:val="24"/>
          <w:lang w:val="en-US" w:eastAsia="zh-CN"/>
        </w:rPr>
        <w:t>退回发起人：申报老师提交的论文资料有问题，使用此操作退回给发起人进行修改和重新送审，此操作在实际场景中应用较多，注意和审核不通过区分开来。</w:t>
      </w:r>
    </w:p>
    <w:p w14:paraId="538C8C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lang w:val="en-US" w:eastAsia="zh-CN"/>
        </w:rPr>
      </w:pPr>
      <w:r>
        <w:rPr>
          <w:rFonts w:hint="eastAsia" w:ascii="等线" w:hAnsi="等线" w:eastAsia="等线" w:cs="等线"/>
          <w:b w:val="0"/>
          <w:bCs w:val="0"/>
          <w:color w:val="FF0000"/>
          <w:sz w:val="24"/>
          <w:szCs w:val="24"/>
          <w:lang w:val="en-US" w:eastAsia="zh-CN"/>
        </w:rPr>
        <w:t>退回上一节点：此操作一般应用于多级审核，例如第二个审核节点认为第一个审核节点审核存在问题，故退回给第一个审核节点重新审核，会员单位审核无此应用场景，可忽略。</w:t>
      </w:r>
    </w:p>
    <w:p w14:paraId="197D662D">
      <w:pPr>
        <w:pStyle w:val="3"/>
        <w:pageBreakBefore w:val="0"/>
        <w:numPr>
          <w:ilvl w:val="0"/>
          <w:numId w:val="0"/>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等线" w:hAnsi="等线" w:eastAsia="等线" w:cs="等线"/>
          <w:lang w:val="en-US" w:eastAsia="zh-CN"/>
        </w:rPr>
      </w:pPr>
      <w:bookmarkStart w:id="2" w:name="_Toc30894"/>
      <w:r>
        <w:rPr>
          <w:rFonts w:hint="default" w:ascii="等线" w:hAnsi="等线" w:eastAsia="等线" w:cs="等线"/>
          <w:b/>
          <w:kern w:val="44"/>
          <w:sz w:val="28"/>
          <w:szCs w:val="22"/>
          <w:lang w:val="en-US" w:eastAsia="zh-CN" w:bidi="ar-SA"/>
        </w:rPr>
        <w:t>2.</w:t>
      </w:r>
      <w:r>
        <w:rPr>
          <w:rFonts w:hint="eastAsia" w:ascii="等线" w:hAnsi="等线" w:eastAsia="等线" w:cs="等线"/>
          <w:lang w:val="en-US" w:eastAsia="zh-CN"/>
        </w:rPr>
        <w:t>项目汇总查询</w:t>
      </w:r>
      <w:bookmarkEnd w:id="2"/>
    </w:p>
    <w:p w14:paraId="1C101B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会员单位管理员进入【项目汇总管理-项目汇总查询】页面，【项目类别】选择【2024年优秀论文】，可以查询本单位所有已提交申报的论文记录。点击【导出Excel】按钮可导出论文数据Excel；点击【下载项目材料】可选择下载论文的附件资料。</w:t>
      </w:r>
    </w:p>
    <w:p w14:paraId="61DB9EFE">
      <w:pPr>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等线" w:hAnsi="等线" w:eastAsia="等线" w:cs="等线"/>
        </w:rPr>
      </w:pPr>
      <w:r>
        <w:drawing>
          <wp:inline distT="0" distB="0" distL="114300" distR="114300">
            <wp:extent cx="5266690" cy="2583815"/>
            <wp:effectExtent l="9525" t="9525" r="19685" b="1651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25"/>
                    <a:stretch>
                      <a:fillRect/>
                    </a:stretch>
                  </pic:blipFill>
                  <pic:spPr>
                    <a:xfrm>
                      <a:off x="0" y="0"/>
                      <a:ext cx="5266690" cy="2583815"/>
                    </a:xfrm>
                    <a:prstGeom prst="rect">
                      <a:avLst/>
                    </a:prstGeom>
                    <a:noFill/>
                    <a:ln>
                      <a:solidFill>
                        <a:schemeClr val="bg1">
                          <a:lumMod val="95000"/>
                        </a:schemeClr>
                      </a:solidFill>
                    </a:ln>
                  </pic:spPr>
                </pic:pic>
              </a:graphicData>
            </a:graphic>
          </wp:inline>
        </w:drawing>
      </w:r>
    </w:p>
    <w:p w14:paraId="62C263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点击【查看】按钮，可随时查看论文的基本信息、提交的论文附件文档、各阶段审核历史等。</w:t>
      </w:r>
    </w:p>
    <w:p w14:paraId="18C27982">
      <w:pPr>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等线" w:hAnsi="等线" w:eastAsia="等线" w:cs="等线"/>
        </w:rPr>
      </w:pPr>
    </w:p>
    <w:p w14:paraId="68DD6D1B">
      <w:pPr>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等线" w:hAnsi="等线" w:eastAsia="等线" w:cs="等线"/>
        </w:rPr>
      </w:pPr>
      <w:r>
        <w:drawing>
          <wp:inline distT="0" distB="0" distL="114300" distR="114300">
            <wp:extent cx="5266690" cy="2583815"/>
            <wp:effectExtent l="0" t="0" r="10160" b="698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6"/>
                    <a:stretch>
                      <a:fillRect/>
                    </a:stretch>
                  </pic:blipFill>
                  <pic:spPr>
                    <a:xfrm>
                      <a:off x="0" y="0"/>
                      <a:ext cx="5266690" cy="2583815"/>
                    </a:xfrm>
                    <a:prstGeom prst="rect">
                      <a:avLst/>
                    </a:prstGeom>
                    <a:noFill/>
                    <a:ln>
                      <a:noFill/>
                    </a:ln>
                  </pic:spPr>
                </pic:pic>
              </a:graphicData>
            </a:graphic>
          </wp:inline>
        </w:drawing>
      </w:r>
    </w:p>
    <w:p w14:paraId="50CAF32B">
      <w:pPr>
        <w:pStyle w:val="3"/>
        <w:pageBreakBefore w:val="0"/>
        <w:numPr>
          <w:ilvl w:val="0"/>
          <w:numId w:val="0"/>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等线" w:hAnsi="等线" w:eastAsia="等线" w:cs="等线"/>
          <w:lang w:val="en-US" w:eastAsia="zh-CN"/>
        </w:rPr>
      </w:pPr>
      <w:bookmarkStart w:id="3" w:name="_Toc11798"/>
      <w:r>
        <w:rPr>
          <w:rFonts w:hint="default" w:ascii="等线" w:hAnsi="等线" w:eastAsia="等线" w:cs="等线"/>
          <w:b/>
          <w:kern w:val="44"/>
          <w:sz w:val="28"/>
          <w:szCs w:val="22"/>
          <w:lang w:val="en-US" w:eastAsia="zh-CN" w:bidi="ar-SA"/>
        </w:rPr>
        <w:t>3.</w:t>
      </w:r>
      <w:r>
        <w:rPr>
          <w:rFonts w:hint="eastAsia" w:ascii="等线" w:hAnsi="等线" w:eastAsia="等线" w:cs="等线"/>
          <w:lang w:val="en-US" w:eastAsia="zh-CN"/>
        </w:rPr>
        <w:t>移动端</w:t>
      </w:r>
      <w:bookmarkEnd w:id="3"/>
    </w:p>
    <w:p w14:paraId="7713C2F5">
      <w:pPr>
        <w:keepNext w:val="0"/>
        <w:keepLines w:val="0"/>
        <w:pageBreakBefore w:val="0"/>
        <w:widowControl w:val="0"/>
        <w:kinsoku/>
        <w:wordWrap/>
        <w:overflowPunct/>
        <w:topLinePunct w:val="0"/>
        <w:autoSpaceDE/>
        <w:autoSpaceDN/>
        <w:bidi w:val="0"/>
        <w:adjustRightInd/>
        <w:snapToGrid/>
        <w:ind w:left="0" w:leftChars="0" w:firstLine="480" w:firstLineChars="200"/>
        <w:jc w:val="left"/>
        <w:textAlignment w:val="auto"/>
        <w:rPr>
          <w:rFonts w:hint="eastAsia" w:ascii="等线" w:hAnsi="等线" w:eastAsia="等线" w:cs="等线"/>
          <w:b w:val="0"/>
          <w:bCs w:val="0"/>
          <w:sz w:val="24"/>
          <w:szCs w:val="24"/>
          <w:lang w:val="en-US" w:eastAsia="zh-CN"/>
        </w:rPr>
      </w:pPr>
      <w:r>
        <w:rPr>
          <w:rFonts w:hint="eastAsia" w:ascii="等线" w:hAnsi="等线" w:eastAsia="等线" w:cs="等线"/>
          <w:b w:val="0"/>
          <w:bCs w:val="0"/>
          <w:sz w:val="24"/>
          <w:szCs w:val="24"/>
          <w:lang w:val="en-US" w:eastAsia="zh-CN"/>
        </w:rPr>
        <w:t>移动端也可审核本单位老师提交的论文记录，在手机浏览器中登录系统（地址：http://xmgl.hsvae.com/jgxmgl-app/）后，进入【审核—&gt;申报审核】，可审核本单位老师提交的论文记录，点击【审核】按钮，弹出审核界面，选择对应审核结果即可审核；勾选多条数据可进行批量审核。</w:t>
      </w:r>
    </w:p>
    <w:p w14:paraId="01387C82">
      <w:pPr>
        <w:bidi w:val="0"/>
        <w:ind w:left="0" w:leftChars="0" w:firstLine="0" w:firstLineChars="0"/>
        <w:jc w:val="center"/>
        <w:rPr>
          <w:rFonts w:hint="eastAsia" w:ascii="等线" w:hAnsi="等线" w:eastAsia="等线" w:cs="等线"/>
          <w:lang w:val="en-US" w:eastAsia="zh-CN"/>
        </w:rPr>
      </w:pPr>
      <w:r>
        <w:drawing>
          <wp:inline distT="0" distB="0" distL="114300" distR="114300">
            <wp:extent cx="2531745" cy="5427345"/>
            <wp:effectExtent l="0" t="0" r="1905" b="190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27"/>
                    <a:stretch>
                      <a:fillRect/>
                    </a:stretch>
                  </pic:blipFill>
                  <pic:spPr>
                    <a:xfrm>
                      <a:off x="0" y="0"/>
                      <a:ext cx="2531745" cy="5427345"/>
                    </a:xfrm>
                    <a:prstGeom prst="rect">
                      <a:avLst/>
                    </a:prstGeom>
                    <a:noFill/>
                    <a:ln>
                      <a:noFill/>
                    </a:ln>
                  </pic:spPr>
                </pic:pic>
              </a:graphicData>
            </a:graphic>
          </wp:inline>
        </w:drawing>
      </w:r>
      <w:r>
        <w:rPr>
          <w:rFonts w:hint="eastAsia" w:ascii="等线" w:hAnsi="等线" w:eastAsia="等线" w:cs="等线"/>
          <w:lang w:val="en-US" w:eastAsia="zh-CN"/>
        </w:rPr>
        <w:t xml:space="preserve">  </w:t>
      </w:r>
      <w:r>
        <w:drawing>
          <wp:inline distT="0" distB="0" distL="114300" distR="114300">
            <wp:extent cx="2517140" cy="5412105"/>
            <wp:effectExtent l="0" t="0" r="16510" b="1714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28"/>
                    <a:stretch>
                      <a:fillRect/>
                    </a:stretch>
                  </pic:blipFill>
                  <pic:spPr>
                    <a:xfrm>
                      <a:off x="0" y="0"/>
                      <a:ext cx="2517140" cy="5412105"/>
                    </a:xfrm>
                    <a:prstGeom prst="rect">
                      <a:avLst/>
                    </a:prstGeom>
                    <a:noFill/>
                    <a:ln>
                      <a:noFill/>
                    </a:ln>
                  </pic:spPr>
                </pic:pic>
              </a:graphicData>
            </a:graphic>
          </wp:inline>
        </w:drawing>
      </w:r>
    </w:p>
    <w:p w14:paraId="5D7ACE99">
      <w:pPr>
        <w:bidi w:val="0"/>
        <w:ind w:left="0" w:leftChars="0" w:firstLine="0" w:firstLineChars="0"/>
        <w:jc w:val="left"/>
        <w:rPr>
          <w:rFonts w:hint="eastAsia" w:ascii="等线" w:hAnsi="等线" w:eastAsia="等线" w:cs="等线"/>
          <w:lang w:val="en-US" w:eastAsia="zh-CN"/>
        </w:rPr>
      </w:pPr>
      <w:r>
        <w:rPr>
          <w:rFonts w:hint="eastAsia" w:ascii="等线" w:hAnsi="等线" w:eastAsia="等线" w:cs="等线"/>
          <w:lang w:val="en-US" w:eastAsia="zh-CN"/>
        </w:rPr>
        <w:t xml:space="preserve">  </w:t>
      </w:r>
    </w:p>
    <w:p w14:paraId="31558419">
      <w:pPr>
        <w:ind w:firstLine="630" w:firstLineChars="300"/>
      </w:pPr>
    </w:p>
    <w:p w14:paraId="0A9E6A44">
      <w:pPr>
        <w:pStyle w:val="2"/>
        <w:rPr>
          <w:rFonts w:hint="default"/>
          <w:lang w:val="en-US" w:eastAsia="zh-CN"/>
        </w:rPr>
      </w:pPr>
    </w:p>
    <w:p w14:paraId="6C0FABCA">
      <w:pPr>
        <w:pStyle w:val="2"/>
        <w:rPr>
          <w:rFonts w:hint="default" w:eastAsia="仿宋"/>
          <w:lang w:val="en-US" w:eastAsia="zh-CN"/>
        </w:rPr>
      </w:pPr>
    </w:p>
    <w:p w14:paraId="4E918FFE">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eastAsia" w:ascii="方正小标宋简体" w:hAnsi="方正小标宋简体" w:eastAsia="方正小标宋简体" w:cs="方正小标宋简体"/>
          <w:w w:val="100"/>
          <w:sz w:val="36"/>
          <w:szCs w:val="36"/>
          <w:lang w:val="en-US" w:eastAsia="zh-CN"/>
        </w:rPr>
      </w:pPr>
    </w:p>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2A7F37-8766-4DE3-ACDC-D217AA53C5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2BD8EED-9D63-48D9-9DE5-4979DDC56751}"/>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E4BF169F-7C02-48C2-8CDC-6053DB16E174}"/>
  </w:font>
  <w:font w:name="方正小标宋简体">
    <w:panose1 w:val="02000000000000000000"/>
    <w:charset w:val="86"/>
    <w:family w:val="auto"/>
    <w:pitch w:val="default"/>
    <w:sig w:usb0="00000001" w:usb1="08000000" w:usb2="00000000" w:usb3="00000000" w:csb0="00040000" w:csb1="00000000"/>
    <w:embedRegular r:id="rId4" w:fontKey="{6D502814-684D-4473-88AE-36494D858345}"/>
  </w:font>
  <w:font w:name="仿宋_GB2312">
    <w:panose1 w:val="02010609030101010101"/>
    <w:charset w:val="86"/>
    <w:family w:val="auto"/>
    <w:pitch w:val="default"/>
    <w:sig w:usb0="00000001" w:usb1="080E0000" w:usb2="00000000" w:usb3="00000000" w:csb0="00040000" w:csb1="00000000"/>
    <w:embedRegular r:id="rId5" w:fontKey="{138500DB-F492-4C4C-BFE6-1896A9DD2F5F}"/>
  </w:font>
  <w:font w:name="方正小标宋_GBK">
    <w:panose1 w:val="02000000000000000000"/>
    <w:charset w:val="86"/>
    <w:family w:val="auto"/>
    <w:pitch w:val="default"/>
    <w:sig w:usb0="A00002BF" w:usb1="38CF7CFA" w:usb2="00082016" w:usb3="00000000" w:csb0="00040001" w:csb1="00000000"/>
    <w:embedRegular r:id="rId6" w:fontKey="{9648E1D7-EE44-44F7-8415-1F4E099CEFA2}"/>
  </w:font>
  <w:font w:name="等线">
    <w:panose1 w:val="02010600030101010101"/>
    <w:charset w:val="86"/>
    <w:family w:val="auto"/>
    <w:pitch w:val="default"/>
    <w:sig w:usb0="A00002BF" w:usb1="38CF7CFA" w:usb2="00000016" w:usb3="00000000" w:csb0="0004000F" w:csb1="00000000"/>
    <w:embedRegular r:id="rId7" w:fontKey="{A7B2EF4D-E846-4E41-BA40-A7018AFE9C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F4276">
    <w:pPr>
      <w:pStyle w:val="7"/>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4F044FB6">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4747D">
    <w:pPr>
      <w:pStyle w:val="7"/>
      <w:framePr w:wrap="around" w:vAnchor="text" w:hAnchor="margin" w:xAlign="center" w:y="1"/>
      <w:rPr>
        <w:rStyle w:val="12"/>
      </w:rPr>
    </w:pPr>
    <w:r>
      <w:fldChar w:fldCharType="begin"/>
    </w:r>
    <w:r>
      <w:rPr>
        <w:rStyle w:val="12"/>
      </w:rPr>
      <w:instrText xml:space="preserve">PAGE  </w:instrText>
    </w:r>
    <w:r>
      <w:fldChar w:fldCharType="end"/>
    </w:r>
  </w:p>
  <w:p w14:paraId="0F59418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AF701">
    <w:pPr>
      <w:pStyle w:val="7"/>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02837EA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69153">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5C647">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52119D"/>
    <w:multiLevelType w:val="multilevel"/>
    <w:tmpl w:val="D752119D"/>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pStyle w:val="4"/>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F2ACCEFA"/>
    <w:multiLevelType w:val="singleLevel"/>
    <w:tmpl w:val="F2ACCEFA"/>
    <w:lvl w:ilvl="0" w:tentative="0">
      <w:start w:val="1"/>
      <w:numFmt w:val="bullet"/>
      <w:lvlText w:val=""/>
      <w:lvlJc w:val="left"/>
      <w:pPr>
        <w:tabs>
          <w:tab w:val="left" w:pos="420"/>
        </w:tabs>
        <w:ind w:left="840" w:hanging="420"/>
      </w:pPr>
      <w:rPr>
        <w:rFonts w:hint="default" w:ascii="Wingdings" w:hAnsi="Wingdings"/>
      </w:rPr>
    </w:lvl>
  </w:abstractNum>
  <w:abstractNum w:abstractNumId="2">
    <w:nsid w:val="629FE03A"/>
    <w:multiLevelType w:val="multilevel"/>
    <w:tmpl w:val="629FE03A"/>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YWQ2OWViZmFkNmQwMDA0MzA5MTYxZGZiZWY3ZGMifQ=="/>
  </w:docVars>
  <w:rsids>
    <w:rsidRoot w:val="00F67ADD"/>
    <w:rsid w:val="00001691"/>
    <w:rsid w:val="000109E6"/>
    <w:rsid w:val="00010F37"/>
    <w:rsid w:val="000157BE"/>
    <w:rsid w:val="00023E09"/>
    <w:rsid w:val="000271B9"/>
    <w:rsid w:val="00031565"/>
    <w:rsid w:val="00033C28"/>
    <w:rsid w:val="00034FC9"/>
    <w:rsid w:val="000373B8"/>
    <w:rsid w:val="000415F2"/>
    <w:rsid w:val="0006746B"/>
    <w:rsid w:val="00074860"/>
    <w:rsid w:val="00087724"/>
    <w:rsid w:val="00087906"/>
    <w:rsid w:val="00090304"/>
    <w:rsid w:val="00090E5E"/>
    <w:rsid w:val="00093A66"/>
    <w:rsid w:val="000A344E"/>
    <w:rsid w:val="000B2057"/>
    <w:rsid w:val="000C1910"/>
    <w:rsid w:val="000C7386"/>
    <w:rsid w:val="000E69F7"/>
    <w:rsid w:val="000E7FDF"/>
    <w:rsid w:val="000F5C92"/>
    <w:rsid w:val="000F70CA"/>
    <w:rsid w:val="00106F36"/>
    <w:rsid w:val="00110B84"/>
    <w:rsid w:val="00115FB9"/>
    <w:rsid w:val="00117556"/>
    <w:rsid w:val="00126AD4"/>
    <w:rsid w:val="0013153C"/>
    <w:rsid w:val="00142D72"/>
    <w:rsid w:val="00143EA9"/>
    <w:rsid w:val="001448BB"/>
    <w:rsid w:val="00161053"/>
    <w:rsid w:val="00171AD5"/>
    <w:rsid w:val="00183F47"/>
    <w:rsid w:val="0018429C"/>
    <w:rsid w:val="00184756"/>
    <w:rsid w:val="0019010E"/>
    <w:rsid w:val="001906E7"/>
    <w:rsid w:val="001A3CD5"/>
    <w:rsid w:val="001B02FF"/>
    <w:rsid w:val="001B2C47"/>
    <w:rsid w:val="001B6362"/>
    <w:rsid w:val="001C5EA0"/>
    <w:rsid w:val="001D129F"/>
    <w:rsid w:val="001E71A1"/>
    <w:rsid w:val="0020361B"/>
    <w:rsid w:val="00204F4D"/>
    <w:rsid w:val="0021194C"/>
    <w:rsid w:val="002263C1"/>
    <w:rsid w:val="00227B5E"/>
    <w:rsid w:val="00236014"/>
    <w:rsid w:val="00237C0E"/>
    <w:rsid w:val="00246516"/>
    <w:rsid w:val="00251C73"/>
    <w:rsid w:val="00257ECC"/>
    <w:rsid w:val="00260145"/>
    <w:rsid w:val="002636E5"/>
    <w:rsid w:val="00283F25"/>
    <w:rsid w:val="00284AA2"/>
    <w:rsid w:val="00293CB7"/>
    <w:rsid w:val="00294AC7"/>
    <w:rsid w:val="002D178A"/>
    <w:rsid w:val="002D1816"/>
    <w:rsid w:val="002D3C7F"/>
    <w:rsid w:val="002E6634"/>
    <w:rsid w:val="002F1309"/>
    <w:rsid w:val="00315930"/>
    <w:rsid w:val="00316954"/>
    <w:rsid w:val="00340175"/>
    <w:rsid w:val="00344E2B"/>
    <w:rsid w:val="00346F1B"/>
    <w:rsid w:val="00355339"/>
    <w:rsid w:val="00365819"/>
    <w:rsid w:val="00366A48"/>
    <w:rsid w:val="003725CB"/>
    <w:rsid w:val="00373121"/>
    <w:rsid w:val="00373B17"/>
    <w:rsid w:val="0038536F"/>
    <w:rsid w:val="0038623A"/>
    <w:rsid w:val="00392B0F"/>
    <w:rsid w:val="003A10AE"/>
    <w:rsid w:val="003A36E7"/>
    <w:rsid w:val="003C0900"/>
    <w:rsid w:val="003C1B9B"/>
    <w:rsid w:val="003C2860"/>
    <w:rsid w:val="003C73BE"/>
    <w:rsid w:val="003C7A7D"/>
    <w:rsid w:val="003D6E97"/>
    <w:rsid w:val="003E0727"/>
    <w:rsid w:val="003E4ECC"/>
    <w:rsid w:val="003E778B"/>
    <w:rsid w:val="00402C63"/>
    <w:rsid w:val="00403793"/>
    <w:rsid w:val="00407D51"/>
    <w:rsid w:val="0041495B"/>
    <w:rsid w:val="004167AF"/>
    <w:rsid w:val="00421624"/>
    <w:rsid w:val="00421C42"/>
    <w:rsid w:val="00423B69"/>
    <w:rsid w:val="00424B7A"/>
    <w:rsid w:val="00433DE2"/>
    <w:rsid w:val="00437D9C"/>
    <w:rsid w:val="004429D2"/>
    <w:rsid w:val="0044437C"/>
    <w:rsid w:val="0046603D"/>
    <w:rsid w:val="00485262"/>
    <w:rsid w:val="004853AA"/>
    <w:rsid w:val="00495124"/>
    <w:rsid w:val="004A2782"/>
    <w:rsid w:val="004A35A9"/>
    <w:rsid w:val="004A4913"/>
    <w:rsid w:val="004A4F17"/>
    <w:rsid w:val="004B23E1"/>
    <w:rsid w:val="004B711E"/>
    <w:rsid w:val="004C40FC"/>
    <w:rsid w:val="004C4469"/>
    <w:rsid w:val="004C6EC2"/>
    <w:rsid w:val="004D6015"/>
    <w:rsid w:val="004D607A"/>
    <w:rsid w:val="004F20B1"/>
    <w:rsid w:val="004F546D"/>
    <w:rsid w:val="00500DAE"/>
    <w:rsid w:val="00507A24"/>
    <w:rsid w:val="005107D3"/>
    <w:rsid w:val="0051712B"/>
    <w:rsid w:val="00517EBC"/>
    <w:rsid w:val="0052494F"/>
    <w:rsid w:val="00526413"/>
    <w:rsid w:val="00531FD8"/>
    <w:rsid w:val="0054559B"/>
    <w:rsid w:val="00551F89"/>
    <w:rsid w:val="00553952"/>
    <w:rsid w:val="00556FBD"/>
    <w:rsid w:val="0055756B"/>
    <w:rsid w:val="00563F77"/>
    <w:rsid w:val="00580D4B"/>
    <w:rsid w:val="005815F6"/>
    <w:rsid w:val="00583B00"/>
    <w:rsid w:val="005910FD"/>
    <w:rsid w:val="005918BE"/>
    <w:rsid w:val="005A6AD6"/>
    <w:rsid w:val="005A7526"/>
    <w:rsid w:val="005C7CBB"/>
    <w:rsid w:val="005D56B1"/>
    <w:rsid w:val="005E61FF"/>
    <w:rsid w:val="005F4E03"/>
    <w:rsid w:val="005F4EDD"/>
    <w:rsid w:val="0060553F"/>
    <w:rsid w:val="00611DAB"/>
    <w:rsid w:val="00612E88"/>
    <w:rsid w:val="00626D30"/>
    <w:rsid w:val="00637430"/>
    <w:rsid w:val="0064031A"/>
    <w:rsid w:val="00641EE2"/>
    <w:rsid w:val="00673AA9"/>
    <w:rsid w:val="00673DFC"/>
    <w:rsid w:val="00682453"/>
    <w:rsid w:val="0068411E"/>
    <w:rsid w:val="00684418"/>
    <w:rsid w:val="00697FC6"/>
    <w:rsid w:val="006A5175"/>
    <w:rsid w:val="006A7A7A"/>
    <w:rsid w:val="006B6093"/>
    <w:rsid w:val="006C1E38"/>
    <w:rsid w:val="006C4293"/>
    <w:rsid w:val="006D27E1"/>
    <w:rsid w:val="006D758A"/>
    <w:rsid w:val="006E2EAA"/>
    <w:rsid w:val="006E305A"/>
    <w:rsid w:val="00700A9F"/>
    <w:rsid w:val="00703889"/>
    <w:rsid w:val="007216D2"/>
    <w:rsid w:val="00722079"/>
    <w:rsid w:val="00724674"/>
    <w:rsid w:val="00747E10"/>
    <w:rsid w:val="00753293"/>
    <w:rsid w:val="0076260C"/>
    <w:rsid w:val="007649DA"/>
    <w:rsid w:val="007758B5"/>
    <w:rsid w:val="00776162"/>
    <w:rsid w:val="00792909"/>
    <w:rsid w:val="007A799C"/>
    <w:rsid w:val="007B1306"/>
    <w:rsid w:val="007C1016"/>
    <w:rsid w:val="007C2BFF"/>
    <w:rsid w:val="007C46B5"/>
    <w:rsid w:val="007C6E5F"/>
    <w:rsid w:val="007E21E2"/>
    <w:rsid w:val="007E3250"/>
    <w:rsid w:val="007F6235"/>
    <w:rsid w:val="00800E4E"/>
    <w:rsid w:val="00800E58"/>
    <w:rsid w:val="00805E3C"/>
    <w:rsid w:val="008215BE"/>
    <w:rsid w:val="008276F7"/>
    <w:rsid w:val="00827951"/>
    <w:rsid w:val="0083048A"/>
    <w:rsid w:val="00834E9F"/>
    <w:rsid w:val="00844B6C"/>
    <w:rsid w:val="008665C6"/>
    <w:rsid w:val="00866DFC"/>
    <w:rsid w:val="0087045F"/>
    <w:rsid w:val="00892BB7"/>
    <w:rsid w:val="00897DE8"/>
    <w:rsid w:val="008A5C11"/>
    <w:rsid w:val="008A5E9A"/>
    <w:rsid w:val="008B5A49"/>
    <w:rsid w:val="008C4329"/>
    <w:rsid w:val="008C654D"/>
    <w:rsid w:val="008C6569"/>
    <w:rsid w:val="008D0763"/>
    <w:rsid w:val="008D26CC"/>
    <w:rsid w:val="008E1394"/>
    <w:rsid w:val="008E32D6"/>
    <w:rsid w:val="008E50F2"/>
    <w:rsid w:val="00907453"/>
    <w:rsid w:val="00915929"/>
    <w:rsid w:val="009168F6"/>
    <w:rsid w:val="00926315"/>
    <w:rsid w:val="009306FB"/>
    <w:rsid w:val="00934706"/>
    <w:rsid w:val="009412D7"/>
    <w:rsid w:val="00944211"/>
    <w:rsid w:val="00955B1C"/>
    <w:rsid w:val="00961882"/>
    <w:rsid w:val="009677B6"/>
    <w:rsid w:val="009824FF"/>
    <w:rsid w:val="009912E6"/>
    <w:rsid w:val="00996C16"/>
    <w:rsid w:val="00997123"/>
    <w:rsid w:val="009A1DD4"/>
    <w:rsid w:val="009B44D5"/>
    <w:rsid w:val="009B7D75"/>
    <w:rsid w:val="009C7AD6"/>
    <w:rsid w:val="009D514F"/>
    <w:rsid w:val="009E0AA3"/>
    <w:rsid w:val="009E71CD"/>
    <w:rsid w:val="009F5D12"/>
    <w:rsid w:val="009F634A"/>
    <w:rsid w:val="009F6DE4"/>
    <w:rsid w:val="00A12D25"/>
    <w:rsid w:val="00A207AF"/>
    <w:rsid w:val="00A23339"/>
    <w:rsid w:val="00A25C5C"/>
    <w:rsid w:val="00A51748"/>
    <w:rsid w:val="00A5470E"/>
    <w:rsid w:val="00A56C04"/>
    <w:rsid w:val="00A6679F"/>
    <w:rsid w:val="00A77B8A"/>
    <w:rsid w:val="00A83AF8"/>
    <w:rsid w:val="00A903E9"/>
    <w:rsid w:val="00A90B51"/>
    <w:rsid w:val="00A9256C"/>
    <w:rsid w:val="00A934A5"/>
    <w:rsid w:val="00A93DC4"/>
    <w:rsid w:val="00A95934"/>
    <w:rsid w:val="00A95FD0"/>
    <w:rsid w:val="00AB3E81"/>
    <w:rsid w:val="00AC1D79"/>
    <w:rsid w:val="00AC7F8E"/>
    <w:rsid w:val="00AE4052"/>
    <w:rsid w:val="00AE54D8"/>
    <w:rsid w:val="00AE5F05"/>
    <w:rsid w:val="00AE6355"/>
    <w:rsid w:val="00AE7945"/>
    <w:rsid w:val="00AF6D6E"/>
    <w:rsid w:val="00B06CEC"/>
    <w:rsid w:val="00B12405"/>
    <w:rsid w:val="00B16C72"/>
    <w:rsid w:val="00B172F9"/>
    <w:rsid w:val="00B17D39"/>
    <w:rsid w:val="00B21621"/>
    <w:rsid w:val="00B46439"/>
    <w:rsid w:val="00B52662"/>
    <w:rsid w:val="00B6645C"/>
    <w:rsid w:val="00B664CB"/>
    <w:rsid w:val="00B73356"/>
    <w:rsid w:val="00B75ACA"/>
    <w:rsid w:val="00B82F1E"/>
    <w:rsid w:val="00B86A21"/>
    <w:rsid w:val="00B920E5"/>
    <w:rsid w:val="00B93E10"/>
    <w:rsid w:val="00BA0A34"/>
    <w:rsid w:val="00BA2B96"/>
    <w:rsid w:val="00BA458C"/>
    <w:rsid w:val="00BA464C"/>
    <w:rsid w:val="00BA62CF"/>
    <w:rsid w:val="00BA7066"/>
    <w:rsid w:val="00BC4E18"/>
    <w:rsid w:val="00BD0312"/>
    <w:rsid w:val="00BD1495"/>
    <w:rsid w:val="00BE063B"/>
    <w:rsid w:val="00BE2C1E"/>
    <w:rsid w:val="00BF04A6"/>
    <w:rsid w:val="00BF2F42"/>
    <w:rsid w:val="00C01B21"/>
    <w:rsid w:val="00C04C1B"/>
    <w:rsid w:val="00C1087E"/>
    <w:rsid w:val="00C46571"/>
    <w:rsid w:val="00C5762B"/>
    <w:rsid w:val="00C57ECB"/>
    <w:rsid w:val="00C62941"/>
    <w:rsid w:val="00C637A3"/>
    <w:rsid w:val="00C713E1"/>
    <w:rsid w:val="00C740F9"/>
    <w:rsid w:val="00C74EC4"/>
    <w:rsid w:val="00C76A26"/>
    <w:rsid w:val="00C90788"/>
    <w:rsid w:val="00C91CA4"/>
    <w:rsid w:val="00C97854"/>
    <w:rsid w:val="00CA3928"/>
    <w:rsid w:val="00CA4E66"/>
    <w:rsid w:val="00CA5312"/>
    <w:rsid w:val="00CA5453"/>
    <w:rsid w:val="00CA6D0F"/>
    <w:rsid w:val="00CB12B8"/>
    <w:rsid w:val="00CB13ED"/>
    <w:rsid w:val="00CB60DE"/>
    <w:rsid w:val="00CC0B3B"/>
    <w:rsid w:val="00CC1257"/>
    <w:rsid w:val="00CC19FE"/>
    <w:rsid w:val="00CC302C"/>
    <w:rsid w:val="00CD3B47"/>
    <w:rsid w:val="00CE7320"/>
    <w:rsid w:val="00D01B93"/>
    <w:rsid w:val="00D04841"/>
    <w:rsid w:val="00D06081"/>
    <w:rsid w:val="00D16908"/>
    <w:rsid w:val="00D16F69"/>
    <w:rsid w:val="00D17E65"/>
    <w:rsid w:val="00D204F1"/>
    <w:rsid w:val="00D34359"/>
    <w:rsid w:val="00D359D6"/>
    <w:rsid w:val="00D4469C"/>
    <w:rsid w:val="00D47599"/>
    <w:rsid w:val="00D47896"/>
    <w:rsid w:val="00D50166"/>
    <w:rsid w:val="00D540E0"/>
    <w:rsid w:val="00D558E9"/>
    <w:rsid w:val="00D616A6"/>
    <w:rsid w:val="00D625EC"/>
    <w:rsid w:val="00D75C71"/>
    <w:rsid w:val="00D806DB"/>
    <w:rsid w:val="00D808E9"/>
    <w:rsid w:val="00D80D95"/>
    <w:rsid w:val="00D86C84"/>
    <w:rsid w:val="00D958D6"/>
    <w:rsid w:val="00DA05C6"/>
    <w:rsid w:val="00DB658C"/>
    <w:rsid w:val="00DC2723"/>
    <w:rsid w:val="00DD29BA"/>
    <w:rsid w:val="00DD65A7"/>
    <w:rsid w:val="00DE0335"/>
    <w:rsid w:val="00DF0833"/>
    <w:rsid w:val="00E00033"/>
    <w:rsid w:val="00E00E3D"/>
    <w:rsid w:val="00E07138"/>
    <w:rsid w:val="00E31BB2"/>
    <w:rsid w:val="00E31D7B"/>
    <w:rsid w:val="00E33F07"/>
    <w:rsid w:val="00E370DA"/>
    <w:rsid w:val="00E50C90"/>
    <w:rsid w:val="00E52249"/>
    <w:rsid w:val="00E65FB3"/>
    <w:rsid w:val="00E7166B"/>
    <w:rsid w:val="00E722A5"/>
    <w:rsid w:val="00E81C48"/>
    <w:rsid w:val="00E87A00"/>
    <w:rsid w:val="00E87C61"/>
    <w:rsid w:val="00E944D9"/>
    <w:rsid w:val="00E9576C"/>
    <w:rsid w:val="00EA1330"/>
    <w:rsid w:val="00EA2D36"/>
    <w:rsid w:val="00EA4CF4"/>
    <w:rsid w:val="00EA5E70"/>
    <w:rsid w:val="00EC32DE"/>
    <w:rsid w:val="00EC5340"/>
    <w:rsid w:val="00EC79BF"/>
    <w:rsid w:val="00ED62F6"/>
    <w:rsid w:val="00ED66B6"/>
    <w:rsid w:val="00ED7BDB"/>
    <w:rsid w:val="00EE62CE"/>
    <w:rsid w:val="00EF0E75"/>
    <w:rsid w:val="00EF0F54"/>
    <w:rsid w:val="00EF6986"/>
    <w:rsid w:val="00F01242"/>
    <w:rsid w:val="00F10AD4"/>
    <w:rsid w:val="00F13FD6"/>
    <w:rsid w:val="00F172FD"/>
    <w:rsid w:val="00F22C41"/>
    <w:rsid w:val="00F42897"/>
    <w:rsid w:val="00F515C7"/>
    <w:rsid w:val="00F52FDE"/>
    <w:rsid w:val="00F60249"/>
    <w:rsid w:val="00F645D9"/>
    <w:rsid w:val="00F67ADD"/>
    <w:rsid w:val="00F724F2"/>
    <w:rsid w:val="00F73D19"/>
    <w:rsid w:val="00F77F15"/>
    <w:rsid w:val="00F81F55"/>
    <w:rsid w:val="00F83105"/>
    <w:rsid w:val="00F87478"/>
    <w:rsid w:val="00F87F80"/>
    <w:rsid w:val="00F97A48"/>
    <w:rsid w:val="00FA091E"/>
    <w:rsid w:val="00FB1117"/>
    <w:rsid w:val="00FB2621"/>
    <w:rsid w:val="00FB45FD"/>
    <w:rsid w:val="00FB5CB0"/>
    <w:rsid w:val="00FB5CF7"/>
    <w:rsid w:val="00FC27EA"/>
    <w:rsid w:val="00FD3EFB"/>
    <w:rsid w:val="00FE044B"/>
    <w:rsid w:val="00FF3D2E"/>
    <w:rsid w:val="06CF780B"/>
    <w:rsid w:val="0ACC485F"/>
    <w:rsid w:val="0D7C7A22"/>
    <w:rsid w:val="115D6AA8"/>
    <w:rsid w:val="11977C47"/>
    <w:rsid w:val="12897870"/>
    <w:rsid w:val="1570547C"/>
    <w:rsid w:val="18610CDC"/>
    <w:rsid w:val="19A26888"/>
    <w:rsid w:val="1D060894"/>
    <w:rsid w:val="23495292"/>
    <w:rsid w:val="23863CED"/>
    <w:rsid w:val="25361268"/>
    <w:rsid w:val="259E1DAC"/>
    <w:rsid w:val="275D62B7"/>
    <w:rsid w:val="27D03788"/>
    <w:rsid w:val="2836311F"/>
    <w:rsid w:val="2AA52B8B"/>
    <w:rsid w:val="2C680615"/>
    <w:rsid w:val="2E2B4CCE"/>
    <w:rsid w:val="30296D11"/>
    <w:rsid w:val="32461CB2"/>
    <w:rsid w:val="32C3367A"/>
    <w:rsid w:val="32E20814"/>
    <w:rsid w:val="34DA1EC8"/>
    <w:rsid w:val="39AD5D0C"/>
    <w:rsid w:val="3D2F2C1F"/>
    <w:rsid w:val="3E444130"/>
    <w:rsid w:val="40745BF1"/>
    <w:rsid w:val="41C241FA"/>
    <w:rsid w:val="42DF267A"/>
    <w:rsid w:val="477C3DA5"/>
    <w:rsid w:val="499E328F"/>
    <w:rsid w:val="4AB128DE"/>
    <w:rsid w:val="4C5142D8"/>
    <w:rsid w:val="4C8229F4"/>
    <w:rsid w:val="4FCE50AB"/>
    <w:rsid w:val="51A55807"/>
    <w:rsid w:val="545F186C"/>
    <w:rsid w:val="55DF0EB7"/>
    <w:rsid w:val="55FC124D"/>
    <w:rsid w:val="561E6CD3"/>
    <w:rsid w:val="59132367"/>
    <w:rsid w:val="5B124492"/>
    <w:rsid w:val="5B7A44CD"/>
    <w:rsid w:val="5E7A3F90"/>
    <w:rsid w:val="6703077D"/>
    <w:rsid w:val="67753DF1"/>
    <w:rsid w:val="69745960"/>
    <w:rsid w:val="75892893"/>
    <w:rsid w:val="7C1D7D8C"/>
    <w:rsid w:val="7EA12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outlineLvl w:val="0"/>
    </w:pPr>
    <w:rPr>
      <w:rFonts w:ascii="Microsoft JhengHei" w:hAnsi="Microsoft JhengHei" w:eastAsia="Microsoft JhengHei" w:cs="Microsoft JhengHei"/>
      <w:b/>
      <w:bCs/>
      <w:sz w:val="36"/>
      <w:szCs w:val="36"/>
    </w:rPr>
  </w:style>
  <w:style w:type="paragraph" w:styleId="2">
    <w:name w:val="heading 2"/>
    <w:basedOn w:val="1"/>
    <w:next w:val="1"/>
    <w:semiHidden/>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6"/>
    <w:basedOn w:val="1"/>
    <w:next w:val="1"/>
    <w:unhideWhenUsed/>
    <w:qFormat/>
    <w:uiPriority w:val="0"/>
    <w:pPr>
      <w:keepNext/>
      <w:keepLines/>
      <w:numPr>
        <w:ilvl w:val="5"/>
        <w:numId w:val="1"/>
      </w:numPr>
      <w:spacing w:before="240" w:after="64" w:line="320" w:lineRule="auto"/>
      <w:outlineLvl w:val="5"/>
    </w:pPr>
    <w:rPr>
      <w:rFonts w:asciiTheme="majorHAnsi" w:hAnsiTheme="majorHAnsi" w:eastAsiaTheme="majorEastAsia" w:cstheme="majorBidi"/>
      <w:b/>
      <w:bCs/>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2"/>
      <w:szCs w:val="32"/>
      <w:lang w:val="en-US" w:eastAsia="en-US" w:bidi="ar-SA"/>
    </w:rPr>
  </w:style>
  <w:style w:type="paragraph" w:styleId="6">
    <w:name w:val="Balloon Text"/>
    <w:basedOn w:val="1"/>
    <w:link w:val="16"/>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页眉 Char"/>
    <w:basedOn w:val="11"/>
    <w:link w:val="8"/>
    <w:qFormat/>
    <w:uiPriority w:val="99"/>
    <w:rPr>
      <w:sz w:val="18"/>
      <w:szCs w:val="18"/>
    </w:rPr>
  </w:style>
  <w:style w:type="character" w:customStyle="1" w:styleId="14">
    <w:name w:val="页脚 Char"/>
    <w:basedOn w:val="11"/>
    <w:link w:val="7"/>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rFonts w:ascii="Times New Roman" w:hAnsi="Times New Roman" w:eastAsia="宋体" w:cs="Times New Roman"/>
      <w:sz w:val="18"/>
      <w:szCs w:val="18"/>
    </w:rPr>
  </w:style>
  <w:style w:type="paragraph" w:customStyle="1" w:styleId="17">
    <w:name w:val="Table Text"/>
    <w:basedOn w:val="1"/>
    <w:semiHidden/>
    <w:qFormat/>
    <w:uiPriority w:val="0"/>
    <w:rPr>
      <w:rFonts w:ascii="仿宋" w:hAnsi="仿宋" w:eastAsia="仿宋" w:cs="仿宋"/>
      <w:sz w:val="32"/>
      <w:szCs w:val="32"/>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4997</Words>
  <Characters>5567</Characters>
  <Lines>45</Lines>
  <Paragraphs>12</Paragraphs>
  <TotalTime>25</TotalTime>
  <ScaleCrop>false</ScaleCrop>
  <LinksUpToDate>false</LinksUpToDate>
  <CharactersWithSpaces>5783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2020-05-26T07:43:00Z</dcterms:created>
  <dc:creator>吴佳</dc:creator>
  <cp:lastModifiedBy>周玲</cp:lastModifiedBy>
  <cp:lastPrinted>2021-06-20T07:16:00Z</cp:lastPrinted>
  <dcterms:modified xsi:type="dcterms:W3CDTF">2025-10-14T02:57:05Z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CD4734FB6A2F44B08E3482C9640687B1_13</vt:lpwstr>
  </property>
  <property fmtid="{D5CDD505-2E9C-101B-9397-08002B2CF9AE}" pid="4" name="KSOTemplateDocerSaveRecord">
    <vt:lpwstr>eyJoZGlkIjoiMjkzMDBjOTg5NDEyMDhhNzg0OWYxMzAwNzc3NmIxMmEiLCJ1c2VySWQiOiIxNTcyMjMyMDQzIn0=</vt:lpwstr>
  </property>
</Properties>
</file>