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Toc6673"/>
      <w:bookmarkStart w:id="1" w:name="_Toc6890"/>
      <w:bookmarkStart w:id="2" w:name="_Toc7674"/>
      <w:r>
        <w:rPr>
          <w:rFonts w:hint="eastAsia" w:ascii="方正小标宋简体" w:eastAsia="方正小标宋简体"/>
          <w:sz w:val="44"/>
          <w:szCs w:val="44"/>
        </w:rPr>
        <w:t>“十三五”期间分年投入预算表</w:t>
      </w:r>
      <w:bookmarkEnd w:id="0"/>
      <w:bookmarkEnd w:id="1"/>
      <w:bookmarkEnd w:id="2"/>
    </w:p>
    <w:p>
      <w:pPr>
        <w:adjustRightInd w:val="0"/>
        <w:snapToGrid w:val="0"/>
        <w:spacing w:line="280" w:lineRule="exact"/>
        <w:jc w:val="right"/>
        <w:rPr>
          <w:rFonts w:hint="eastAsia" w:ascii="仿宋_GB2312" w:hAnsi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kern w:val="0"/>
          <w:sz w:val="28"/>
          <w:szCs w:val="28"/>
        </w:rPr>
        <w:t>（万元）</w:t>
      </w:r>
    </w:p>
    <w:tbl>
      <w:tblPr>
        <w:tblStyle w:val="6"/>
        <w:tblW w:w="13755" w:type="dxa"/>
        <w:tblInd w:w="-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67" w:type="dxa"/>
          <w:bottom w:w="0" w:type="dxa"/>
          <w:right w:w="67" w:type="dxa"/>
        </w:tblCellMar>
      </w:tblPr>
      <w:tblGrid>
        <w:gridCol w:w="492"/>
        <w:gridCol w:w="674"/>
        <w:gridCol w:w="2149"/>
        <w:gridCol w:w="631"/>
        <w:gridCol w:w="2249"/>
        <w:gridCol w:w="18"/>
        <w:gridCol w:w="2267"/>
        <w:gridCol w:w="2267"/>
        <w:gridCol w:w="1208"/>
        <w:gridCol w:w="975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60" w:hRule="atLeast"/>
          <w:tblHeader/>
        </w:trPr>
        <w:tc>
          <w:tcPr>
            <w:tcW w:w="3946" w:type="dxa"/>
            <w:gridSpan w:val="4"/>
            <w:shd w:val="clear" w:color="000000" w:fill="00B0F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3" w:name="_Toc432779877"/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2267" w:type="dxa"/>
            <w:gridSpan w:val="2"/>
            <w:shd w:val="clear" w:color="000000" w:fill="00B0F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2016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</w:p>
        </w:tc>
        <w:tc>
          <w:tcPr>
            <w:tcW w:w="2267" w:type="dxa"/>
            <w:shd w:val="clear" w:color="000000" w:fill="00B0F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2017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</w:p>
        </w:tc>
        <w:tc>
          <w:tcPr>
            <w:tcW w:w="2267" w:type="dxa"/>
            <w:shd w:val="clear" w:color="000000" w:fill="00B0F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2018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</w:p>
        </w:tc>
        <w:tc>
          <w:tcPr>
            <w:tcW w:w="1208" w:type="dxa"/>
            <w:shd w:val="clear" w:color="000000" w:fill="00B0F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2019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</w:p>
        </w:tc>
        <w:tc>
          <w:tcPr>
            <w:tcW w:w="975" w:type="dxa"/>
            <w:shd w:val="clear" w:color="000000" w:fill="00B0F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2020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</w:p>
        </w:tc>
        <w:tc>
          <w:tcPr>
            <w:tcW w:w="825" w:type="dxa"/>
            <w:shd w:val="clear" w:color="000000" w:fill="00B0F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38" w:hRule="atLeast"/>
        </w:trPr>
        <w:tc>
          <w:tcPr>
            <w:tcW w:w="3946" w:type="dxa"/>
            <w:gridSpan w:val="4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合计</w:t>
            </w:r>
          </w:p>
        </w:tc>
        <w:tc>
          <w:tcPr>
            <w:tcW w:w="2267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8683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14536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7972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1128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807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33126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85" w:hRule="atLeast"/>
        </w:trPr>
        <w:tc>
          <w:tcPr>
            <w:tcW w:w="49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一、达标提质工程</w:t>
            </w:r>
          </w:p>
        </w:tc>
        <w:tc>
          <w:tcPr>
            <w:tcW w:w="3454" w:type="dxa"/>
            <w:gridSpan w:val="3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267" w:type="dxa"/>
            <w:gridSpan w:val="2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8030</w:t>
            </w:r>
          </w:p>
        </w:tc>
        <w:tc>
          <w:tcPr>
            <w:tcW w:w="2267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12907</w:t>
            </w:r>
          </w:p>
        </w:tc>
        <w:tc>
          <w:tcPr>
            <w:tcW w:w="2267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7072</w:t>
            </w:r>
          </w:p>
        </w:tc>
        <w:tc>
          <w:tcPr>
            <w:tcW w:w="1208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495</w:t>
            </w:r>
          </w:p>
        </w:tc>
        <w:tc>
          <w:tcPr>
            <w:tcW w:w="975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215</w:t>
            </w:r>
          </w:p>
        </w:tc>
        <w:tc>
          <w:tcPr>
            <w:tcW w:w="825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28719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校园占地面积达标工程项目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67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8000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2000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68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6801" w:type="dxa"/>
            <w:gridSpan w:val="4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岳塘区福星村征收130.9亩，涉及116户房屋补偿、500个人员安置、水塘及青苗补偿、其他费用补偿。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59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校园建筑面积达标提质工程项目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7250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3220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4356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14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一期工程：4号公寓楼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（8997平米×1612元/平=1450万）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；生产性实习实训综合楼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（24000平米×2417元/平=5800万）。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二期工程：理实一体化综合教学楼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（12575平米×2000元/平=2515万）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；师生运动中心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（3523平米×2000元/平=705万）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。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三期工程：综合科技楼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（8758平米×2000元/平=1752万）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；综合公寓楼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（9050平米×1612元/平=1460万）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；后勤服务中心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（7098平米×1612元/平=1144万）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。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6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校园环境绿化美化工程项目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72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绿化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新增绿化面积4.62亩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新增绿化面积2.3亩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新增绿化面积1.15亩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ind w:firstLine="105" w:firstLineChars="5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新增绿化面积1.15亩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64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电力系统扩容改造工程项目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260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7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新增125KVA电力变压器系统两套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91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w w:val="96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学生宿舍环境改造工程项目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265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712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学生宿舍配置1.35—1.5P空调机900台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44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图书资料达标增量工程项目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129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2万册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4万册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4.3万册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3万册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3万册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教育装备能力提升工程项目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340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220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包括</w:t>
            </w: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省级示范特色专业群—设备采购项目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240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654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改扩建8间专业实训室，新增设备195台套。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改扩建9间专业实训室，新增设备295台套。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省级生产性实训基地—设备采购项目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945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新建风力发电实训室、220KW风力归电离/并网实训室，共计新增设备80台套。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新建风力发电机安装调试实实训室、光伏产品加工与制作实训室，共计新增设备60台套。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75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省级重点实验室建设项目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350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120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任务或子项目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光伏并网工程实验室新增最大功率跟踪控制器、方阵功率调节器、隔离型DC—DC变换器、防孤岛试验检测设备等10台套。</w:t>
            </w:r>
          </w:p>
        </w:tc>
        <w:tc>
          <w:tcPr>
            <w:tcW w:w="2285" w:type="dxa"/>
            <w:gridSpan w:val="2"/>
            <w:vAlign w:val="top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太阳能建筑一体化实验室新增多功能数据采集系统、离心通风机、光热采暖系统、等设备2套。能源管理与节能技术实验室新增数字实时仿真、网络接口箱、功率放大器等设备30台套等。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75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推进智慧校园建设项目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512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327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260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75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包括</w:t>
            </w:r>
          </w:p>
        </w:tc>
        <w:tc>
          <w:tcPr>
            <w:tcW w:w="2149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校园网络提质改造工程项目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80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top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1.学生宿舍网络布线改造（15万）；2.办公楼以及第二教学楼网络布线改造（20万）。</w:t>
            </w:r>
          </w:p>
        </w:tc>
        <w:tc>
          <w:tcPr>
            <w:tcW w:w="2285" w:type="dxa"/>
            <w:gridSpan w:val="2"/>
            <w:vAlign w:val="top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1.全校现有60台 接入层交换机全部更换为千兆级别设备（50万）；2.新增5台万兆级别汇聚交换机（30万）。</w:t>
            </w:r>
          </w:p>
        </w:tc>
        <w:tc>
          <w:tcPr>
            <w:tcW w:w="2267" w:type="dxa"/>
            <w:vAlign w:val="top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1.北院学生宿舍网路布线（20万）；2.北院光纤铺设（10万）；3.北院教学楼和实验楼网线布线（45万）。</w:t>
            </w:r>
          </w:p>
        </w:tc>
        <w:tc>
          <w:tcPr>
            <w:tcW w:w="1208" w:type="dxa"/>
            <w:vAlign w:val="top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新增校区计算机有线网建设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45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校园物联网--一卡通建设项目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现有校园一卡通建设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新增校园（含北院）一卡通建设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数据中心建设项目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2285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72</w:t>
            </w:r>
          </w:p>
        </w:tc>
        <w:tc>
          <w:tcPr>
            <w:tcW w:w="226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82</w:t>
            </w:r>
          </w:p>
        </w:tc>
        <w:tc>
          <w:tcPr>
            <w:tcW w:w="120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97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82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1912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1.新机房电力保障改造、避雷改造、相关装修；2.虚拟化服务器扩充以及硬件升级；3.核心交换机扩充线卡。</w:t>
            </w:r>
          </w:p>
        </w:tc>
        <w:tc>
          <w:tcPr>
            <w:tcW w:w="2285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1．将核心机房搬迁至新址；2.新增增补一台核心交换机，与现有核心交换机组成互为备份的全万兆骨干；3.增加数据存储设备；4.防火墙升级至万兆级。</w:t>
            </w:r>
          </w:p>
        </w:tc>
        <w:tc>
          <w:tcPr>
            <w:tcW w:w="226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1.学校互联网出口管理设备升级；2.新增上网行为审计设备；3.新增学校重点服务器安全加固设备；4.虚拟化服务器扩充。</w:t>
            </w:r>
          </w:p>
        </w:tc>
        <w:tc>
          <w:tcPr>
            <w:tcW w:w="120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75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校园无线网建设项目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226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120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97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82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233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5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图书馆、办公楼、三教和实训楼区域无线覆盖工程建设含无线运营计费系统、运维管理系统、无线控制器、大容量AP、供电交换机等。二教教学楼、学生宿舍、食堂区域无线覆盖</w:t>
            </w:r>
          </w:p>
        </w:tc>
        <w:tc>
          <w:tcPr>
            <w:tcW w:w="226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北院及田径场等室外公共区域无线覆盖</w:t>
            </w:r>
          </w:p>
        </w:tc>
        <w:tc>
          <w:tcPr>
            <w:tcW w:w="120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新增校区无线网建设　</w:t>
            </w:r>
          </w:p>
        </w:tc>
        <w:tc>
          <w:tcPr>
            <w:tcW w:w="97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47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湖南省新能源信息中心建设项目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85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120</w:t>
            </w:r>
          </w:p>
        </w:tc>
        <w:tc>
          <w:tcPr>
            <w:tcW w:w="226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120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97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82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1158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</w:t>
            </w:r>
          </w:p>
        </w:tc>
        <w:tc>
          <w:tcPr>
            <w:tcW w:w="224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2285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1.信息中心网站服务器；2．存储服务器；</w:t>
            </w:r>
          </w:p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 多功能交互网站开发。</w:t>
            </w:r>
          </w:p>
        </w:tc>
        <w:tc>
          <w:tcPr>
            <w:tcW w:w="226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1.CMS系统；2.办公配套设施。</w:t>
            </w:r>
          </w:p>
        </w:tc>
        <w:tc>
          <w:tcPr>
            <w:tcW w:w="120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61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智慧校园应用信息系统建设项目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226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120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97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82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30" w:hRule="atLeast"/>
        </w:trPr>
        <w:tc>
          <w:tcPr>
            <w:tcW w:w="49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4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CRP系统应用推广</w:t>
            </w:r>
          </w:p>
        </w:tc>
        <w:tc>
          <w:tcPr>
            <w:tcW w:w="2285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6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0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2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二、特色专业群建设工程</w:t>
            </w:r>
          </w:p>
        </w:tc>
        <w:tc>
          <w:tcPr>
            <w:tcW w:w="3454" w:type="dxa"/>
            <w:gridSpan w:val="3"/>
            <w:shd w:val="clear" w:color="auto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249" w:type="dxa"/>
            <w:shd w:val="clear" w:color="auto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230</w:t>
            </w:r>
          </w:p>
        </w:tc>
        <w:tc>
          <w:tcPr>
            <w:tcW w:w="2285" w:type="dxa"/>
            <w:gridSpan w:val="2"/>
            <w:shd w:val="clear" w:color="auto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820</w:t>
            </w:r>
          </w:p>
        </w:tc>
        <w:tc>
          <w:tcPr>
            <w:tcW w:w="2267" w:type="dxa"/>
            <w:shd w:val="clear" w:color="auto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220</w:t>
            </w:r>
          </w:p>
        </w:tc>
        <w:tc>
          <w:tcPr>
            <w:tcW w:w="1208" w:type="dxa"/>
            <w:shd w:val="clear" w:color="auto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115</w:t>
            </w:r>
          </w:p>
        </w:tc>
        <w:tc>
          <w:tcPr>
            <w:tcW w:w="975" w:type="dxa"/>
            <w:shd w:val="clear" w:color="auto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99</w:t>
            </w:r>
          </w:p>
        </w:tc>
        <w:tc>
          <w:tcPr>
            <w:tcW w:w="825" w:type="dxa"/>
            <w:shd w:val="clear" w:color="auto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149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省级示范性特色专业群建设项目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121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230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82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任务或子项目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专业结构调整，专业群课程体系改革，专业统筹发展机制。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专业结构调整、专业群课程体系改革、专业统筹发展机制，项目验收。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61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星级专业成长工程项目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专业群基础能力提升建设项目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55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优质课程资源建设项目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生产性实习实训基地建设项目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64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460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145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65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54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包括</w:t>
            </w: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省级校企合作生产性实习实训基地项目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24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686" w:hRule="exac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新能源技术研发与推广中心建设项目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实践教学体系改革创新建设项目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校外实训基地建设项目 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实践教学质量监控体系建设项目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湖南省新能源职教集团组建项目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校企合作股份制二级学院建设项目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45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新能源协同创新中心建设项目</w:t>
            </w:r>
          </w:p>
        </w:tc>
        <w:tc>
          <w:tcPr>
            <w:tcW w:w="631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55" w:hRule="atLeast"/>
        </w:trPr>
        <w:tc>
          <w:tcPr>
            <w:tcW w:w="49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三、教师成长工程</w:t>
            </w:r>
          </w:p>
        </w:tc>
        <w:tc>
          <w:tcPr>
            <w:tcW w:w="3454" w:type="dxa"/>
            <w:gridSpan w:val="3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249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190</w:t>
            </w:r>
          </w:p>
        </w:tc>
        <w:tc>
          <w:tcPr>
            <w:tcW w:w="2285" w:type="dxa"/>
            <w:gridSpan w:val="2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400</w:t>
            </w:r>
          </w:p>
        </w:tc>
        <w:tc>
          <w:tcPr>
            <w:tcW w:w="2267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320</w:t>
            </w:r>
          </w:p>
        </w:tc>
        <w:tc>
          <w:tcPr>
            <w:tcW w:w="1208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230</w:t>
            </w:r>
          </w:p>
        </w:tc>
        <w:tc>
          <w:tcPr>
            <w:tcW w:w="975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230</w:t>
            </w:r>
          </w:p>
        </w:tc>
        <w:tc>
          <w:tcPr>
            <w:tcW w:w="825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7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w w:val="95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专业教学团队建设项目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8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包括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省级示范特色专业群—教学团队建设项目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75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省级生产性实训基地—师资队伍建设项目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56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专业带头人建设项目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8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包括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省级示范特色专业群—专业带头人建设项目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8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省级生产性实训基地—专业带头人建设项目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99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教师专业发展建设项目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7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“双师型”教师队伍建设工程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604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卓越人才倍增项目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56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技能大师引进项目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706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包括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创建省级技能大师工作室建设项目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70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股份制“技能大师工作室”建设项目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0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优秀外籍师资引进项目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109" w:hRule="atLeast"/>
        </w:trPr>
        <w:tc>
          <w:tcPr>
            <w:tcW w:w="49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四、内部治理改革</w:t>
            </w:r>
          </w:p>
        </w:tc>
        <w:tc>
          <w:tcPr>
            <w:tcW w:w="3454" w:type="dxa"/>
            <w:gridSpan w:val="3"/>
            <w:shd w:val="clear" w:color="000000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249" w:type="dxa"/>
            <w:shd w:val="clear" w:color="000000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85" w:type="dxa"/>
            <w:gridSpan w:val="2"/>
            <w:shd w:val="clear" w:color="000000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2267" w:type="dxa"/>
            <w:shd w:val="clear" w:color="000000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1208" w:type="dxa"/>
            <w:shd w:val="clear" w:color="000000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37</w:t>
            </w:r>
          </w:p>
        </w:tc>
        <w:tc>
          <w:tcPr>
            <w:tcW w:w="975" w:type="dxa"/>
            <w:shd w:val="clear" w:color="000000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37</w:t>
            </w:r>
          </w:p>
        </w:tc>
        <w:tc>
          <w:tcPr>
            <w:tcW w:w="825" w:type="dxa"/>
            <w:shd w:val="clear" w:color="000000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03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学校章程建设项目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4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7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管理人员能力提升建设项目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教学管理信息化建设项目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17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专项治理项目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01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体制机制创新项目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01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和谐平安校园创建项目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五、教育教学改革</w:t>
            </w:r>
          </w:p>
        </w:tc>
        <w:tc>
          <w:tcPr>
            <w:tcW w:w="3454" w:type="dxa"/>
            <w:gridSpan w:val="3"/>
            <w:shd w:val="clear" w:color="auto" w:fill="FFFF00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249" w:type="dxa"/>
            <w:shd w:val="clear" w:color="auto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55</w:t>
            </w:r>
          </w:p>
        </w:tc>
        <w:tc>
          <w:tcPr>
            <w:tcW w:w="2285" w:type="dxa"/>
            <w:gridSpan w:val="2"/>
            <w:shd w:val="clear" w:color="auto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95</w:t>
            </w:r>
          </w:p>
        </w:tc>
        <w:tc>
          <w:tcPr>
            <w:tcW w:w="2267" w:type="dxa"/>
            <w:shd w:val="clear" w:color="auto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1208" w:type="dxa"/>
            <w:shd w:val="clear" w:color="auto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65</w:t>
            </w:r>
          </w:p>
        </w:tc>
        <w:tc>
          <w:tcPr>
            <w:tcW w:w="975" w:type="dxa"/>
            <w:shd w:val="clear" w:color="auto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825" w:type="dxa"/>
            <w:shd w:val="clear" w:color="auto" w:fill="FFFF00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社会主义核心价值观教育工程建设项目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思政工作“进网络、进公寓、进社团”建设项目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德育工作者选拨、培养和管理机制建设项目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行业企业深度参与教学建设项目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375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教学诊断和改进建设项目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实用性校本教材开发项目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656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毕业生跟踪服务项目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694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教学管理人员培训项目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人才培养模式改革与创新建设项目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包括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中高职衔接改革建设项目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现代学徒制改革建设项目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4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7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7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多元评价机制建设项目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7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88" w:hRule="atLeast"/>
        </w:trPr>
        <w:tc>
          <w:tcPr>
            <w:tcW w:w="49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六、创新能力建设</w:t>
            </w:r>
          </w:p>
        </w:tc>
        <w:tc>
          <w:tcPr>
            <w:tcW w:w="3454" w:type="dxa"/>
            <w:gridSpan w:val="3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249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118</w:t>
            </w:r>
          </w:p>
        </w:tc>
        <w:tc>
          <w:tcPr>
            <w:tcW w:w="2285" w:type="dxa"/>
            <w:gridSpan w:val="2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174</w:t>
            </w:r>
          </w:p>
        </w:tc>
        <w:tc>
          <w:tcPr>
            <w:tcW w:w="2267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160</w:t>
            </w:r>
          </w:p>
        </w:tc>
        <w:tc>
          <w:tcPr>
            <w:tcW w:w="1208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136</w:t>
            </w:r>
          </w:p>
        </w:tc>
        <w:tc>
          <w:tcPr>
            <w:tcW w:w="975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116</w:t>
            </w:r>
          </w:p>
        </w:tc>
        <w:tc>
          <w:tcPr>
            <w:tcW w:w="825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628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国际化教学资源引进建设项目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7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国际合作办学（国际交换生）项目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85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实施国际教育合作项目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944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科研能力提升项目（重大项目资助专项）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616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学校品牌推广项目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　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　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610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创新创业训练行动建设项目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23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64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36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36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08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restart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包括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创业基金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77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SIYB创业培训项目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17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科技创新创业训练项目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422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创新创业孵化基地项目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235" w:hRule="atLeast"/>
        </w:trPr>
        <w:tc>
          <w:tcPr>
            <w:tcW w:w="49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七、校园文化建设</w:t>
            </w:r>
          </w:p>
        </w:tc>
        <w:tc>
          <w:tcPr>
            <w:tcW w:w="3454" w:type="dxa"/>
            <w:gridSpan w:val="3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249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85" w:type="dxa"/>
            <w:gridSpan w:val="2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2267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70</w:t>
            </w:r>
          </w:p>
        </w:tc>
        <w:tc>
          <w:tcPr>
            <w:tcW w:w="1208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975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825" w:type="dxa"/>
            <w:shd w:val="clear" w:color="000000" w:fill="FFFF0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907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特色文化建设建设项目（国家级特色校园文化品牌创建工程）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33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主题文化建设项目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69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精品文化建设项目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cantSplit/>
          <w:trHeight w:val="549" w:hRule="atLeast"/>
        </w:trPr>
        <w:tc>
          <w:tcPr>
            <w:tcW w:w="492" w:type="dxa"/>
            <w:vMerge w:val="continue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49" w:type="dxa"/>
            <w:vAlign w:val="center"/>
          </w:tcPr>
          <w:p>
            <w:pPr>
              <w:widowControl/>
              <w:spacing w:line="26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网络文化建设项目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</w:t>
            </w:r>
          </w:p>
        </w:tc>
        <w:tc>
          <w:tcPr>
            <w:tcW w:w="2249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285" w:type="dxa"/>
            <w:gridSpan w:val="2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42</w:t>
            </w:r>
          </w:p>
        </w:tc>
      </w:tr>
    </w:tbl>
    <w:p>
      <w:pPr>
        <w:adjustRightInd w:val="0"/>
        <w:snapToGrid w:val="0"/>
        <w:spacing w:line="400" w:lineRule="exact"/>
        <w:jc w:val="left"/>
        <w:outlineLvl w:val="0"/>
        <w:rPr>
          <w:rFonts w:hint="eastAsia" w:ascii="仿宋_GB2312" w:hAnsi="仿宋_GB2312" w:cs="仿宋_GB2312"/>
          <w:bCs/>
          <w:kern w:val="0"/>
          <w:sz w:val="28"/>
          <w:szCs w:val="28"/>
        </w:rPr>
      </w:pPr>
      <w:bookmarkStart w:id="4" w:name="_Toc22692"/>
      <w:r>
        <w:rPr>
          <w:rFonts w:hint="eastAsia" w:ascii="黑体" w:hAnsi="仿宋_GB2312" w:eastAsia="黑体" w:cs="仿宋_GB2312"/>
          <w:bCs/>
          <w:kern w:val="0"/>
          <w:szCs w:val="32"/>
        </w:rPr>
        <w:br w:type="page"/>
      </w:r>
      <w:bookmarkStart w:id="5" w:name="_Toc24724"/>
      <w:bookmarkStart w:id="6" w:name="_Toc10389"/>
      <w:r>
        <w:rPr>
          <w:rFonts w:hint="eastAsia" w:ascii="黑体" w:hAnsi="仿宋_GB2312" w:eastAsia="黑体" w:cs="仿宋_GB2312"/>
          <w:bCs/>
          <w:kern w:val="0"/>
          <w:szCs w:val="32"/>
        </w:rPr>
        <w:t>附录2：</w:t>
      </w:r>
      <w:bookmarkEnd w:id="4"/>
      <w:bookmarkEnd w:id="5"/>
      <w:bookmarkEnd w:id="6"/>
    </w:p>
    <w:bookmarkEnd w:id="3"/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7" w:name="_Toc11588"/>
      <w:bookmarkStart w:id="8" w:name="_Toc9630"/>
      <w:bookmarkStart w:id="9" w:name="_Toc1620"/>
      <w:r>
        <w:rPr>
          <w:rFonts w:hint="eastAsia" w:ascii="方正小标宋简体" w:eastAsia="方正小标宋简体"/>
          <w:sz w:val="44"/>
          <w:szCs w:val="44"/>
        </w:rPr>
        <w:t>“十三五”规划重点任务分工及进度安排表</w:t>
      </w:r>
      <w:bookmarkEnd w:id="7"/>
      <w:bookmarkEnd w:id="8"/>
      <w:bookmarkEnd w:id="9"/>
    </w:p>
    <w:tbl>
      <w:tblPr>
        <w:tblStyle w:val="6"/>
        <w:tblW w:w="141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032"/>
        <w:gridCol w:w="173"/>
        <w:gridCol w:w="5322"/>
        <w:gridCol w:w="1515"/>
        <w:gridCol w:w="1849"/>
        <w:gridCol w:w="3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tblHeader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序号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工作任务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牵头部门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配合部门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时间进度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14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一、校园达标提质工程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科学规划校园空间，合理布局校园校舍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发展规划处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党政办、后勤产业处、国资处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2016年9月完成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适应专业建设发展需要，编制图书资源建设规划，落实图书资源采购建设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图书馆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各二级学院、思政基础体育部、财务处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2016年12月完成规划，持续实施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根据专业建设发展需要制定“十三五”教学科研仪器装备建设计划，完善实践教学条件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各二级学院、科研处、后勤产业处、国资处、财务处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2016年12月制定，持续实施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电力系统扩容改造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后勤产业处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国资处、财务处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2016年11月完成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5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学生宿舍环境改造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后勤产业处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国资处、财务处、学工保卫处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2016年9月完成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6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制订和完善数字校园建设规划，建立健全管理信息系统应用和技术支持服务体系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7年1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2月前完成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7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完成校园网改版、实施校园网络基础设施改造升级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2016年10月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10" w:name="OLE_LINK5" w:colFirst="2" w:colLast="3"/>
            <w:r>
              <w:rPr>
                <w:rFonts w:hint="eastAsia" w:ascii="宋体" w:hAnsi="宋体" w:eastAsia="宋体" w:cs="仿宋_GB2312"/>
                <w:sz w:val="21"/>
                <w:szCs w:val="21"/>
              </w:rPr>
              <w:t>8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建设网络在线教学系统，完善网络教学功能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bookmarkStart w:id="11" w:name="OLE_LINK7"/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</w:t>
            </w:r>
            <w:bookmarkEnd w:id="11"/>
            <w:r>
              <w:rPr>
                <w:rFonts w:hint="eastAsia" w:ascii="宋体" w:hAnsi="宋体" w:eastAsia="宋体" w:cs="仿宋_GB2312"/>
                <w:sz w:val="21"/>
                <w:szCs w:val="21"/>
              </w:rPr>
              <w:t>（信息化办）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2016年1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2月完成</w:t>
            </w:r>
          </w:p>
        </w:tc>
      </w:tr>
      <w:bookmark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12" w:name="OLE_LINK6" w:colFirst="2" w:colLast="3"/>
            <w:r>
              <w:rPr>
                <w:rFonts w:hint="eastAsia" w:ascii="宋体" w:hAnsi="宋体" w:eastAsia="宋体" w:cs="仿宋_GB2312"/>
                <w:sz w:val="21"/>
                <w:szCs w:val="21"/>
              </w:rPr>
              <w:t>9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开发网上远程教学系统，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实现所有课程在线学习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2016年1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2月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出台方案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2017年完成远程教学系统开发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2020年底完成课程建设</w:t>
            </w:r>
          </w:p>
        </w:tc>
      </w:tr>
      <w:bookmarkEnd w:id="1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10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建设互联互通、统一共享的数据中心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2017年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12月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升级改造数字化校园集成系统，建设校园物联网，全面建成智慧校园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后勤产业处、国资处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2017年12月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加强教师和管理人员信息化应用能力考核与培养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宣传统战部（信息化办）、考核办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414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二、示范性特色专业群建设工程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进一步修订完善“星级专业”管理制度，推进专业建设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各二级学院、科研处（督导室）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2016年9月完成制度，持续实施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深入新能源企业开展调研，编制“十三五”特色专业发展规划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发展规划处、各二级学院、思政基础体育部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2017年6月完成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进一步优化专业结构，适时增设湖南产业转型升级发展需要的新专业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加强品牌专业建设，形成对接、服务、提升、引领太阳能及风电产业和新能源管理与服务的专业体系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5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成立校企合作委员会，完善专业建设指导委员会，完善相关运行机制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党政办、校企合作办、各二级学院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12月完成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6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牵头组建湖南新能源职业教育集团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发展规划处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党政办、教务处（校企合作办）、组织人事处、各二级学院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18年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12月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7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优化校内实践教学基地布局，加强能源类专业生产性实训基础设施建设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后勤产业处、国资处、各二级学院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2018年12月完成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8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加强校外实践教学基地建设，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完善校外实训基地运行管理模式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13" w:name="OLE_LINK8"/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各二级学院、党政办</w:t>
            </w:r>
            <w:bookmarkEnd w:id="13"/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9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做好省级示范性校企合作生产性实习实训基地建设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发展规划处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教务处、太阳能工程学院、风能工程学院、后勤产业处、国资处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2018年6月完成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10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成立国际合作办，明确工作职责、引培国际合作人才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17年6月完成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制定国际合作实施办法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国际合作办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党政办、教务处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7年9月完成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研究制定股份制“校中厂”、工作室等校企合作研究、生产、教学一体化的教学工场实施方案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校企合作办、组织人事处、后勤产业处、国资处、各二级学院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7年6月完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推进“校中厂”、工作室等校企合作研究、生产、教学一体化的教学工场建设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校企合作办、组织人事处、后勤产业处、国资处、相关二级学院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2018年6月完成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14" w:name="OLE_LINK9" w:colFirst="0" w:colLast="4"/>
            <w:r>
              <w:rPr>
                <w:rFonts w:hint="eastAsia" w:ascii="宋体" w:hAnsi="宋体" w:eastAsia="宋体" w:cs="仿宋_GB2312"/>
                <w:sz w:val="21"/>
                <w:szCs w:val="21"/>
              </w:rPr>
              <w:t>14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成立创新学院，研究制定校企协同创新中心建设方案，积极实施协同创新中心建设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思政基础体育部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教务处、发展规划处、各二级学院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11月出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台，2018年6月建成</w:t>
            </w:r>
          </w:p>
        </w:tc>
      </w:tr>
      <w:bookmarkEnd w:id="1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1414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三、教师成长工程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健全教师工作绩效考核办法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2017年6月完成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进一步完善人事管理制度，全面推行竞聘上岗、分类管理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2017年6月完成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制定和完善青年骨干教师遴选培养办法、专业带头人选拔培养办法、教学科研团队建设办法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教务处、科研处、各二级学院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2017年6月完成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制定并实施卓越人才倍增计划，引进重点学科专业高层次人才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2016年12月出台，持续实施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5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制定省级名师建设相关实施办法、激励政策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教务处、财务处、各二级学院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6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制定、完善名师成长工程实施方案及相关配套制度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7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落实教师培训专项经费，加大专业带头人培养力度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财务处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分年度完成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8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加强专业教学团队、“双师型”教师队伍建设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9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建立兼职专业教师队伍管理新机制，规范兼职教师聘任与考核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10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选派骨干教师参加国外培训、聘请外籍技术专家</w:t>
            </w:r>
            <w:r>
              <w:rPr>
                <w:rFonts w:ascii="宋体" w:hAnsi="宋体" w:eastAsia="宋体" w:cs="仿宋_GB2312"/>
                <w:sz w:val="21"/>
                <w:szCs w:val="21"/>
              </w:rPr>
              <w:t xml:space="preserve"> 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国际合作办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组织人事处、教务处、各二级学院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414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四、内部治理改革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30" w:hRule="atLeast"/>
          <w:jc w:val="center"/>
        </w:trPr>
        <w:tc>
          <w:tcPr>
            <w:tcW w:w="65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03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突出问题专项治理行动</w:t>
            </w:r>
          </w:p>
        </w:tc>
        <w:tc>
          <w:tcPr>
            <w:tcW w:w="5495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诚信招生承诺活动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招生就业处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5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032" w:type="dxa"/>
            <w:vMerge w:val="continue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495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学籍信息核查活动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65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032" w:type="dxa"/>
            <w:vMerge w:val="continue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495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教学标准落地活动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2017年6月完成，持续实施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5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032" w:type="dxa"/>
            <w:vMerge w:val="continue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495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实习管理规范活动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2017年12月完成，持续实施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5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032" w:type="dxa"/>
            <w:vMerge w:val="continue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495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平安校园创建活动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学工保卫处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2017年12月完成，持续建设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65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032" w:type="dxa"/>
            <w:vMerge w:val="continue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495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财务管理规范活动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财务处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纪检监察审计处、其他各部门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87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完善内部管理制度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实施管理人员能力提升计划，加强管理人员培训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2016年12月底出台，持续实施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制定年度计划，全面推进信息化建设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414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五、教育教学改革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15" w:name="OLE_LINK10" w:colFirst="0" w:colLast="4"/>
            <w:r>
              <w:rPr>
                <w:rFonts w:hint="eastAsia" w:ascii="宋体" w:hAnsi="宋体" w:eastAsia="宋体" w:cs="仿宋_GB2312"/>
                <w:sz w:val="21"/>
                <w:szCs w:val="21"/>
              </w:rPr>
              <w:t>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探索学分制管理，全面开展教学改革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2016年12月出台实施方案，</w:t>
            </w:r>
          </w:p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bookmarkEnd w:id="1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建立完善“分层培养，层层递进，逐步提高”的实践教学体系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，开展凸显现代学徒制的人才培养模式改革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建立完善人才培养与教学质量内部诊断评价机制，形成学校人才培养质量年度报告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发展规划处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教务处、督导室、招生就业处、各二级学院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2017年6月前完善机制，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根据上级安排完成年度报告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bookmarkStart w:id="16" w:name="OLE_LINK11" w:colFirst="0" w:colLast="4"/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开展中高职衔接改革试点</w:t>
            </w:r>
          </w:p>
          <w:p>
            <w:pPr>
              <w:spacing w:line="300" w:lineRule="exact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招生就业处、各二级学院、五年制大专部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2016年12月底出台方案</w:t>
            </w:r>
          </w:p>
        </w:tc>
      </w:tr>
      <w:bookmarkEnd w:id="1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bookmarkStart w:id="17" w:name="OLE_LINK12" w:colFirst="0" w:colLast="4"/>
            <w:r>
              <w:rPr>
                <w:rFonts w:hint="eastAsia" w:ascii="宋体" w:hAnsi="宋体" w:eastAsia="宋体" w:cs="仿宋_GB2312"/>
                <w:sz w:val="21"/>
                <w:szCs w:val="21"/>
              </w:rPr>
              <w:t>5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推进现代信息技术与教育技术融合研究，开展信息化教学模式改革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科研处、教务处、各二级学院、思政基础体育部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持续实施</w:t>
            </w:r>
          </w:p>
        </w:tc>
      </w:tr>
      <w:bookmarkEnd w:id="1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6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制定并实施教学资源共享计划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2017年6月完成，持续实施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7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引进新能源产业国际职业标准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证书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、技术标准与规范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国际合作办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教务处、科研处、各二级学院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2017年6月完成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8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开展国际交流生合作项目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国际合作办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教务处、招生就业处、各二级学院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9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完善德育工作者选拔、培养和管理机制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学工保卫处、各二级学院、思政基础体育部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2016年12月出台，并持续实施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414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六、创新能力建设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落实科研目标责任制，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完善科研队伍建设、管理、激励机制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加强科研人才引进、培养，加强科研团队建设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加强高等职业教育、技术技能人才成长规律研究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重点学科专业领域技术创新研究与成果转化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5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建立和完善科研评估指标体系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组织人事处、教务处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2016年12月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6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建立多渠道筹集研究基金的管理机制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财务处、校企合作办、国际合作办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2017年6月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7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成立学校科研管理协会，加强与国内各大出版社、重点刊物的联系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各二级学院、图书馆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2017年成立协会，持续实施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8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拟定“光伏发电系统控制与优化”湖南省工程实验室建设方案，并组织落实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发展规划处、教务处、后勤产业处、宣传统战部（信息化办）、国资处、财务处、各二级学院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12月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制定方案，2018年完成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5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9</w:t>
            </w:r>
          </w:p>
        </w:tc>
        <w:tc>
          <w:tcPr>
            <w:tcW w:w="1205" w:type="dxa"/>
            <w:gridSpan w:val="2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“一基地、两中心”</w:t>
            </w:r>
          </w:p>
        </w:tc>
        <w:tc>
          <w:tcPr>
            <w:tcW w:w="532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启动“湖南新能源产业人才培养核心基地”建设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</w:t>
            </w:r>
          </w:p>
        </w:tc>
        <w:tc>
          <w:tcPr>
            <w:tcW w:w="18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发展规划处、后勤产业处、国资处、财务处、各二级学院</w:t>
            </w:r>
          </w:p>
        </w:tc>
        <w:tc>
          <w:tcPr>
            <w:tcW w:w="359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2016年12月前启动，并持续建设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65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532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启动“湖南新能源技术研发与推广中心”建设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</w:t>
            </w:r>
          </w:p>
        </w:tc>
        <w:tc>
          <w:tcPr>
            <w:tcW w:w="18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9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1" w:hRule="atLeast"/>
          <w:jc w:val="center"/>
        </w:trPr>
        <w:tc>
          <w:tcPr>
            <w:tcW w:w="65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532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启动“湖南新能源信息中心”建设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宣传统战部（信息化办）</w:t>
            </w:r>
          </w:p>
        </w:tc>
        <w:tc>
          <w:tcPr>
            <w:tcW w:w="18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9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18" w:name="OLE_LINK15" w:colFirst="0" w:colLast="4"/>
            <w:r>
              <w:rPr>
                <w:rFonts w:hint="eastAsia" w:ascii="宋体" w:hAnsi="宋体" w:eastAsia="宋体" w:cs="仿宋_GB2312"/>
                <w:sz w:val="21"/>
                <w:szCs w:val="21"/>
              </w:rPr>
              <w:t>10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制定并实施创新创业行动计划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创新学院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2016年12月完成，并持续实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施</w:t>
            </w:r>
          </w:p>
        </w:tc>
      </w:tr>
      <w:bookmarkEnd w:id="1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19" w:name="OLE_LINK16" w:colFirst="0" w:colLast="4"/>
            <w:r>
              <w:rPr>
                <w:rFonts w:hint="eastAsia" w:ascii="宋体" w:hAnsi="宋体" w:eastAsia="宋体" w:cs="仿宋_GB2312"/>
                <w:sz w:val="21"/>
                <w:szCs w:val="21"/>
              </w:rPr>
              <w:t>11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创新创业孵化基地建设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20" w:name="OLE_LINK13"/>
            <w:r>
              <w:rPr>
                <w:rFonts w:hint="eastAsia" w:ascii="宋体" w:hAnsi="宋体" w:eastAsia="宋体" w:cs="仿宋_GB2312"/>
                <w:sz w:val="21"/>
                <w:szCs w:val="21"/>
              </w:rPr>
              <w:t>创新学院</w:t>
            </w:r>
            <w:bookmarkEnd w:id="20"/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bookmarkStart w:id="21" w:name="OLE_LINK14"/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其他部门</w:t>
            </w:r>
            <w:bookmarkEnd w:id="21"/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2017年6月完成</w:t>
            </w:r>
          </w:p>
        </w:tc>
      </w:tr>
      <w:bookmarkEnd w:id="1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举办各类科技创新、创意设计、创业计划等专题竞赛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校团委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科研处、招生就业处、各二级学院、思政基础体育部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举办创新创业讲座论坛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校团委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科研处、招生就业处、各二级学院、思政基础体育部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落实年度创新创业教育经费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财务处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每年2月底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1414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七、校园文化建设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深入开展“廉·诚·爱·绿”校园文化建设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校团委、学工保卫处、思政基础体育部，其他各部门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实施网络文化建设工程，构建校园文化网络信息平台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校团委，其他各部门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2016年12月建好平台，持续实施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深入开展先进企业文化进校园系列活动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校团委、各二级学院、五年制、思政基础体育部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6年12月前出台方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案，持续实施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持续开展校园文化进社区活动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校团委、各二级学院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5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继续开展校园社团文化艺术节、技能节等主题教育活动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校团委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教务处、各二级学院、五年制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6" w:hRule="atLeast"/>
          <w:jc w:val="center"/>
        </w:trPr>
        <w:tc>
          <w:tcPr>
            <w:tcW w:w="1414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sz w:val="21"/>
                <w:szCs w:val="21"/>
              </w:rPr>
              <w:t>八、党的建设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深入开展“两学一做”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宣传统战部，其他部门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开展“学习型、创新型、廉洁型”党组织（部门）建设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组织人事处，其他部门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统筹“思想建设、中心工作、基层党建、文化活动”，开展专题建设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党政办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组织人事处，其他部门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5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6527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加强党风廉政建设和反腐败斗争</w:t>
            </w:r>
          </w:p>
        </w:tc>
        <w:tc>
          <w:tcPr>
            <w:tcW w:w="15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纪检监察审计处</w:t>
            </w:r>
          </w:p>
        </w:tc>
        <w:tc>
          <w:tcPr>
            <w:tcW w:w="18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其他各部门</w:t>
            </w:r>
          </w:p>
        </w:tc>
        <w:tc>
          <w:tcPr>
            <w:tcW w:w="35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持续实施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adjustRightInd w:val="0"/>
        <w:snapToGrid w:val="0"/>
        <w:spacing w:line="400" w:lineRule="exact"/>
        <w:jc w:val="left"/>
        <w:outlineLvl w:val="0"/>
        <w:rPr>
          <w:rFonts w:hint="eastAsia" w:ascii="黑体" w:hAnsi="仿宋_GB2312" w:eastAsia="黑体" w:cs="仿宋_GB2312"/>
          <w:bCs/>
          <w:kern w:val="0"/>
          <w:szCs w:val="32"/>
        </w:rPr>
      </w:pPr>
      <w:r>
        <w:rPr>
          <w:rFonts w:hint="eastAsia" w:ascii="黑体" w:hAnsi="仿宋_GB2312" w:eastAsia="黑体" w:cs="仿宋_GB2312"/>
          <w:bCs/>
          <w:kern w:val="0"/>
          <w:szCs w:val="32"/>
        </w:rPr>
        <w:t>附录3：</w:t>
      </w:r>
    </w:p>
    <w:p>
      <w:pPr>
        <w:spacing w:line="57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22" w:name="_Toc3889"/>
      <w:bookmarkStart w:id="23" w:name="_Toc4226"/>
      <w:r>
        <w:rPr>
          <w:rFonts w:hint="eastAsia" w:ascii="方正小标宋简体" w:eastAsia="方正小标宋简体"/>
          <w:sz w:val="44"/>
          <w:szCs w:val="44"/>
        </w:rPr>
        <w:t>湖南省“十三五”省属高职院校发展建设规划表</w:t>
      </w:r>
      <w:bookmarkEnd w:id="22"/>
      <w:bookmarkEnd w:id="23"/>
    </w:p>
    <w:tbl>
      <w:tblPr>
        <w:tblStyle w:val="6"/>
        <w:tblW w:w="140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67" w:type="dxa"/>
          <w:bottom w:w="0" w:type="dxa"/>
          <w:right w:w="67" w:type="dxa"/>
        </w:tblCellMar>
      </w:tblPr>
      <w:tblGrid>
        <w:gridCol w:w="284"/>
        <w:gridCol w:w="283"/>
        <w:gridCol w:w="814"/>
        <w:gridCol w:w="616"/>
        <w:gridCol w:w="644"/>
        <w:gridCol w:w="593"/>
        <w:gridCol w:w="796"/>
        <w:gridCol w:w="593"/>
        <w:gridCol w:w="584"/>
        <w:gridCol w:w="488"/>
        <w:gridCol w:w="656"/>
        <w:gridCol w:w="604"/>
        <w:gridCol w:w="720"/>
        <w:gridCol w:w="547"/>
        <w:gridCol w:w="542"/>
        <w:gridCol w:w="542"/>
        <w:gridCol w:w="644"/>
        <w:gridCol w:w="542"/>
        <w:gridCol w:w="644"/>
        <w:gridCol w:w="542"/>
        <w:gridCol w:w="371"/>
        <w:gridCol w:w="530"/>
        <w:gridCol w:w="1015"/>
        <w:gridCol w:w="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trHeight w:val="486" w:hRule="atLeast"/>
          <w:jc w:val="center"/>
        </w:trPr>
        <w:tc>
          <w:tcPr>
            <w:tcW w:w="28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序号</w:t>
            </w:r>
          </w:p>
        </w:tc>
        <w:tc>
          <w:tcPr>
            <w:tcW w:w="283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学校名称</w:t>
            </w:r>
          </w:p>
        </w:tc>
        <w:tc>
          <w:tcPr>
            <w:tcW w:w="814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校园占地面积（m2）</w:t>
            </w:r>
          </w:p>
        </w:tc>
        <w:tc>
          <w:tcPr>
            <w:tcW w:w="4314" w:type="dxa"/>
            <w:gridSpan w:val="7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现在校舍建筑面积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毕业生一次就业率</w:t>
            </w:r>
          </w:p>
        </w:tc>
        <w:tc>
          <w:tcPr>
            <w:tcW w:w="4003" w:type="dxa"/>
            <w:gridSpan w:val="7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“十三五”建设规划</w:t>
            </w:r>
          </w:p>
        </w:tc>
        <w:tc>
          <w:tcPr>
            <w:tcW w:w="371" w:type="dxa"/>
            <w:vMerge w:val="restart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“十三五”规划总投资</w:t>
            </w:r>
          </w:p>
        </w:tc>
        <w:tc>
          <w:tcPr>
            <w:tcW w:w="530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资金来源</w:t>
            </w:r>
          </w:p>
        </w:tc>
        <w:tc>
          <w:tcPr>
            <w:tcW w:w="1015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学</w:t>
            </w:r>
          </w:p>
          <w:p>
            <w:pPr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校</w:t>
            </w:r>
          </w:p>
          <w:p>
            <w:pPr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债</w:t>
            </w:r>
          </w:p>
          <w:p>
            <w:pPr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务</w:t>
            </w:r>
          </w:p>
          <w:p>
            <w:pPr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余</w:t>
            </w:r>
          </w:p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额</w:t>
            </w:r>
          </w:p>
        </w:tc>
        <w:tc>
          <w:tcPr>
            <w:tcW w:w="471" w:type="dxa"/>
            <w:vMerge w:val="restart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是否计划“十三五”期间扩大校园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jc w:val="center"/>
        </w:trPr>
        <w:tc>
          <w:tcPr>
            <w:tcW w:w="284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/>
                <w:w w:val="90"/>
                <w:sz w:val="21"/>
                <w:szCs w:val="21"/>
              </w:rPr>
            </w:pPr>
          </w:p>
        </w:tc>
        <w:tc>
          <w:tcPr>
            <w:tcW w:w="283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/>
                <w:w w:val="90"/>
                <w:sz w:val="21"/>
                <w:szCs w:val="21"/>
              </w:rPr>
            </w:pPr>
          </w:p>
        </w:tc>
        <w:tc>
          <w:tcPr>
            <w:tcW w:w="814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/>
                <w:w w:val="9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全日制在校生（人）</w:t>
            </w:r>
          </w:p>
        </w:tc>
        <w:tc>
          <w:tcPr>
            <w:tcW w:w="1237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教学用房</w:t>
            </w:r>
          </w:p>
        </w:tc>
        <w:tc>
          <w:tcPr>
            <w:tcW w:w="1389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生活用 房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实验实训用房</w:t>
            </w:r>
          </w:p>
        </w:tc>
        <w:tc>
          <w:tcPr>
            <w:tcW w:w="656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2012年</w:t>
            </w:r>
          </w:p>
        </w:tc>
        <w:tc>
          <w:tcPr>
            <w:tcW w:w="604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2013年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2014年</w:t>
            </w:r>
          </w:p>
        </w:tc>
        <w:tc>
          <w:tcPr>
            <w:tcW w:w="547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全日制在校生（人）</w:t>
            </w: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教学用房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生活用房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实验实训用房</w:t>
            </w:r>
          </w:p>
        </w:tc>
        <w:tc>
          <w:tcPr>
            <w:tcW w:w="371" w:type="dxa"/>
            <w:vMerge w:val="continue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530" w:type="dxa"/>
            <w:vMerge w:val="continue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471" w:type="dxa"/>
            <w:vMerge w:val="continue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trHeight w:val="90" w:hRule="atLeast"/>
          <w:jc w:val="center"/>
        </w:trPr>
        <w:tc>
          <w:tcPr>
            <w:tcW w:w="284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/>
                <w:w w:val="90"/>
                <w:sz w:val="21"/>
                <w:szCs w:val="21"/>
              </w:rPr>
            </w:pPr>
          </w:p>
        </w:tc>
        <w:tc>
          <w:tcPr>
            <w:tcW w:w="283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/>
                <w:w w:val="90"/>
                <w:sz w:val="21"/>
                <w:szCs w:val="21"/>
              </w:rPr>
            </w:pPr>
          </w:p>
        </w:tc>
        <w:tc>
          <w:tcPr>
            <w:tcW w:w="814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/>
                <w:w w:val="90"/>
                <w:sz w:val="21"/>
                <w:szCs w:val="21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644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总建筑面积</w:t>
            </w:r>
          </w:p>
        </w:tc>
        <w:tc>
          <w:tcPr>
            <w:tcW w:w="593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生均建筑面积</w:t>
            </w:r>
          </w:p>
        </w:tc>
        <w:tc>
          <w:tcPr>
            <w:tcW w:w="796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总建筑面积</w:t>
            </w:r>
          </w:p>
        </w:tc>
        <w:tc>
          <w:tcPr>
            <w:tcW w:w="593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生均建筑面积</w:t>
            </w:r>
          </w:p>
        </w:tc>
        <w:tc>
          <w:tcPr>
            <w:tcW w:w="584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总建筑面积</w:t>
            </w:r>
          </w:p>
        </w:tc>
        <w:tc>
          <w:tcPr>
            <w:tcW w:w="488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生均建筑面积</w:t>
            </w:r>
          </w:p>
        </w:tc>
        <w:tc>
          <w:tcPr>
            <w:tcW w:w="656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604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新建（m2）</w:t>
            </w:r>
          </w:p>
        </w:tc>
        <w:tc>
          <w:tcPr>
            <w:tcW w:w="542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改扩建（m2）</w:t>
            </w:r>
          </w:p>
        </w:tc>
        <w:tc>
          <w:tcPr>
            <w:tcW w:w="644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新建（m2）</w:t>
            </w:r>
          </w:p>
        </w:tc>
        <w:tc>
          <w:tcPr>
            <w:tcW w:w="542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改扩建（m2）</w:t>
            </w:r>
          </w:p>
        </w:tc>
        <w:tc>
          <w:tcPr>
            <w:tcW w:w="644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新建（m2）</w:t>
            </w:r>
          </w:p>
        </w:tc>
        <w:tc>
          <w:tcPr>
            <w:tcW w:w="542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改扩建（m2）</w:t>
            </w:r>
          </w:p>
        </w:tc>
        <w:tc>
          <w:tcPr>
            <w:tcW w:w="371" w:type="dxa"/>
            <w:vMerge w:val="continue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530" w:type="dxa"/>
            <w:vMerge w:val="continue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471" w:type="dxa"/>
            <w:vMerge w:val="continue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jc w:val="center"/>
        </w:trPr>
        <w:tc>
          <w:tcPr>
            <w:tcW w:w="28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 w:eastAsia="宋体"/>
                <w:w w:val="90"/>
                <w:sz w:val="21"/>
                <w:szCs w:val="21"/>
              </w:rPr>
            </w:pPr>
          </w:p>
        </w:tc>
        <w:tc>
          <w:tcPr>
            <w:tcW w:w="28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 w:eastAsia="宋体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w w:val="90"/>
                <w:sz w:val="21"/>
                <w:szCs w:val="21"/>
              </w:rPr>
              <w:t>1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Calibri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616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</w:t>
            </w:r>
          </w:p>
        </w:tc>
        <w:tc>
          <w:tcPr>
            <w:tcW w:w="644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</w:t>
            </w:r>
          </w:p>
        </w:tc>
        <w:tc>
          <w:tcPr>
            <w:tcW w:w="593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4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5</w:t>
            </w:r>
          </w:p>
        </w:tc>
        <w:tc>
          <w:tcPr>
            <w:tcW w:w="593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6</w:t>
            </w:r>
          </w:p>
        </w:tc>
        <w:tc>
          <w:tcPr>
            <w:tcW w:w="584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7</w:t>
            </w:r>
          </w:p>
        </w:tc>
        <w:tc>
          <w:tcPr>
            <w:tcW w:w="488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8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9</w:t>
            </w:r>
          </w:p>
        </w:tc>
        <w:tc>
          <w:tcPr>
            <w:tcW w:w="604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11</w:t>
            </w:r>
          </w:p>
        </w:tc>
        <w:tc>
          <w:tcPr>
            <w:tcW w:w="547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12</w:t>
            </w:r>
          </w:p>
        </w:tc>
        <w:tc>
          <w:tcPr>
            <w:tcW w:w="542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13</w:t>
            </w:r>
          </w:p>
        </w:tc>
        <w:tc>
          <w:tcPr>
            <w:tcW w:w="542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14</w:t>
            </w:r>
          </w:p>
        </w:tc>
        <w:tc>
          <w:tcPr>
            <w:tcW w:w="644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15</w:t>
            </w:r>
          </w:p>
        </w:tc>
        <w:tc>
          <w:tcPr>
            <w:tcW w:w="542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16</w:t>
            </w:r>
          </w:p>
        </w:tc>
        <w:tc>
          <w:tcPr>
            <w:tcW w:w="644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17</w:t>
            </w:r>
          </w:p>
        </w:tc>
        <w:tc>
          <w:tcPr>
            <w:tcW w:w="542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18</w:t>
            </w:r>
          </w:p>
        </w:tc>
        <w:tc>
          <w:tcPr>
            <w:tcW w:w="371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19</w:t>
            </w:r>
          </w:p>
        </w:tc>
        <w:tc>
          <w:tcPr>
            <w:tcW w:w="530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20</w:t>
            </w:r>
          </w:p>
        </w:tc>
        <w:tc>
          <w:tcPr>
            <w:tcW w:w="1015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21</w:t>
            </w:r>
          </w:p>
        </w:tc>
        <w:tc>
          <w:tcPr>
            <w:tcW w:w="471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7" w:type="dxa"/>
            <w:bottom w:w="0" w:type="dxa"/>
            <w:right w:w="67" w:type="dxa"/>
          </w:tblCellMar>
        </w:tblPrEx>
        <w:trPr>
          <w:trHeight w:val="2796" w:hRule="atLeast"/>
          <w:jc w:val="center"/>
        </w:trPr>
        <w:tc>
          <w:tcPr>
            <w:tcW w:w="284" w:type="dxa"/>
            <w:vAlign w:val="top"/>
          </w:tcPr>
          <w:p>
            <w:pPr>
              <w:spacing w:line="220" w:lineRule="exact"/>
              <w:rPr>
                <w:rFonts w:ascii="宋体" w:hAnsi="宋体" w:eastAsia="宋体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w w:val="90"/>
                <w:sz w:val="21"/>
                <w:szCs w:val="21"/>
              </w:rPr>
              <w:t>1</w:t>
            </w:r>
          </w:p>
        </w:tc>
        <w:tc>
          <w:tcPr>
            <w:tcW w:w="283" w:type="dxa"/>
            <w:vAlign w:val="top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湖南理工职业技术学院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134318</w:t>
            </w:r>
          </w:p>
        </w:tc>
        <w:tc>
          <w:tcPr>
            <w:tcW w:w="616" w:type="dxa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hint="eastAsia" w:ascii="宋体" w:hAnsi="宋体" w:eastAsia="宋体" w:cs="仿宋_GB2312"/>
                <w:sz w:val="18"/>
                <w:szCs w:val="21"/>
              </w:rPr>
              <w:t>5194</w:t>
            </w:r>
          </w:p>
        </w:tc>
        <w:tc>
          <w:tcPr>
            <w:tcW w:w="644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50426</w:t>
            </w:r>
          </w:p>
        </w:tc>
        <w:tc>
          <w:tcPr>
            <w:tcW w:w="593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13.58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37621.6</w:t>
            </w:r>
          </w:p>
        </w:tc>
        <w:tc>
          <w:tcPr>
            <w:tcW w:w="593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10.13</w:t>
            </w:r>
          </w:p>
        </w:tc>
        <w:tc>
          <w:tcPr>
            <w:tcW w:w="584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35861</w:t>
            </w:r>
          </w:p>
        </w:tc>
        <w:tc>
          <w:tcPr>
            <w:tcW w:w="48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9.66</w:t>
            </w:r>
          </w:p>
        </w:tc>
        <w:tc>
          <w:tcPr>
            <w:tcW w:w="656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94.76</w:t>
            </w:r>
          </w:p>
        </w:tc>
        <w:tc>
          <w:tcPr>
            <w:tcW w:w="604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87.7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80.08</w:t>
            </w:r>
          </w:p>
        </w:tc>
        <w:tc>
          <w:tcPr>
            <w:tcW w:w="547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ascii="宋体" w:hAnsi="宋体" w:eastAsia="宋体" w:cs="仿宋_GB2312"/>
                <w:sz w:val="18"/>
                <w:szCs w:val="21"/>
              </w:rPr>
              <w:t>5000</w:t>
            </w:r>
          </w:p>
        </w:tc>
        <w:tc>
          <w:tcPr>
            <w:tcW w:w="542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hint="eastAsia" w:ascii="宋体" w:hAnsi="宋体" w:eastAsia="宋体" w:cs="仿宋_GB2312"/>
                <w:sz w:val="18"/>
                <w:szCs w:val="21"/>
              </w:rPr>
              <w:t>7674</w:t>
            </w:r>
          </w:p>
        </w:tc>
        <w:tc>
          <w:tcPr>
            <w:tcW w:w="542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hint="eastAsia" w:ascii="宋体" w:hAnsi="宋体" w:eastAsia="宋体" w:cs="仿宋_GB2312"/>
                <w:sz w:val="18"/>
                <w:szCs w:val="21"/>
              </w:rPr>
              <w:t>1100</w:t>
            </w:r>
          </w:p>
        </w:tc>
        <w:tc>
          <w:tcPr>
            <w:tcW w:w="644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hint="eastAsia" w:ascii="宋体" w:hAnsi="宋体" w:eastAsia="宋体" w:cs="仿宋_GB2312"/>
                <w:sz w:val="18"/>
                <w:szCs w:val="21"/>
              </w:rPr>
              <w:t>36885</w:t>
            </w:r>
          </w:p>
        </w:tc>
        <w:tc>
          <w:tcPr>
            <w:tcW w:w="542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hint="eastAsia" w:ascii="宋体" w:hAnsi="宋体" w:eastAsia="宋体" w:cs="仿宋_GB2312"/>
                <w:sz w:val="18"/>
                <w:szCs w:val="21"/>
              </w:rPr>
              <w:t>2165</w:t>
            </w:r>
          </w:p>
        </w:tc>
        <w:tc>
          <w:tcPr>
            <w:tcW w:w="644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hint="eastAsia" w:ascii="宋体" w:hAnsi="宋体" w:eastAsia="宋体" w:cs="仿宋_GB2312"/>
                <w:sz w:val="18"/>
                <w:szCs w:val="21"/>
              </w:rPr>
              <w:t>28270</w:t>
            </w:r>
          </w:p>
        </w:tc>
        <w:tc>
          <w:tcPr>
            <w:tcW w:w="542" w:type="dxa"/>
            <w:vAlign w:val="center"/>
          </w:tcPr>
          <w:p>
            <w:pPr>
              <w:widowControl/>
              <w:spacing w:line="220" w:lineRule="exact"/>
              <w:rPr>
                <w:rFonts w:ascii="宋体" w:hAnsi="宋体" w:eastAsia="宋体" w:cs="仿宋_GB2312"/>
                <w:sz w:val="18"/>
                <w:szCs w:val="21"/>
              </w:rPr>
            </w:pPr>
            <w:r>
              <w:rPr>
                <w:rFonts w:hint="eastAsia" w:ascii="宋体" w:hAnsi="宋体" w:eastAsia="宋体" w:cs="仿宋_GB2312"/>
                <w:sz w:val="18"/>
                <w:szCs w:val="21"/>
              </w:rPr>
              <w:t>5070</w:t>
            </w:r>
          </w:p>
        </w:tc>
        <w:tc>
          <w:tcPr>
            <w:tcW w:w="371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33126万元</w:t>
            </w:r>
          </w:p>
        </w:tc>
        <w:tc>
          <w:tcPr>
            <w:tcW w:w="53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1、办学收入；2、贷款；</w:t>
            </w:r>
          </w:p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3、财政支持。</w:t>
            </w:r>
          </w:p>
        </w:tc>
        <w:tc>
          <w:tcPr>
            <w:tcW w:w="1015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3589.93</w:t>
            </w:r>
          </w:p>
        </w:tc>
        <w:tc>
          <w:tcPr>
            <w:tcW w:w="471" w:type="dxa"/>
            <w:vAlign w:val="top"/>
          </w:tcPr>
          <w:p>
            <w:pPr>
              <w:spacing w:line="220" w:lineRule="exac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优先考虑就近扩征，整体搬迁为备选方案</w:t>
            </w:r>
          </w:p>
        </w:tc>
      </w:tr>
    </w:tbl>
    <w:p>
      <w:pPr>
        <w:spacing w:line="280" w:lineRule="exact"/>
        <w:rPr>
          <w:rFonts w:hint="eastAsia" w:ascii="仿宋_GB2312" w:hAnsi="仿宋_GB2312" w:cs="仿宋_GB2312"/>
          <w:sz w:val="21"/>
          <w:szCs w:val="21"/>
        </w:rPr>
      </w:pPr>
      <w:r>
        <w:rPr>
          <w:rFonts w:hint="eastAsia" w:ascii="仿宋_GB2312" w:hAnsi="仿宋_GB2312" w:cs="仿宋_GB2312"/>
          <w:sz w:val="21"/>
          <w:szCs w:val="21"/>
        </w:rPr>
        <w:t>注：1﹒现状情况数据截至2014年底；2﹒“教学用房”不含实验室、实习场所面积；3﹒“实验实训用房”指校内实验室、实习场所面积；</w:t>
      </w:r>
    </w:p>
    <w:p>
      <w:pPr>
        <w:spacing w:line="280" w:lineRule="exact"/>
        <w:ind w:firstLine="42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 w:val="21"/>
          <w:szCs w:val="21"/>
        </w:rPr>
        <w:t>4﹒22项请注明是扩征土地还是整体搬迁</w:t>
      </w:r>
    </w:p>
    <w:p>
      <w:pPr>
        <w:adjustRightInd w:val="0"/>
        <w:snapToGrid w:val="0"/>
        <w:spacing w:line="240" w:lineRule="exact"/>
        <w:jc w:val="left"/>
        <w:outlineLvl w:val="0"/>
        <w:rPr>
          <w:rFonts w:hint="eastAsia"/>
        </w:rPr>
      </w:pPr>
    </w:p>
    <w:p>
      <w:bookmarkStart w:id="24" w:name="_GoBack"/>
      <w:bookmarkEnd w:id="24"/>
    </w:p>
    <w:sectPr>
      <w:headerReference r:id="rId3" w:type="default"/>
      <w:footerReference r:id="rId4" w:type="default"/>
      <w:footerReference r:id="rId5" w:type="even"/>
      <w:pgSz w:w="16838" w:h="11906" w:orient="landscape"/>
      <w:pgMar w:top="1474" w:right="2098" w:bottom="1361" w:left="1985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altName w:val="Arial Unicode MS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5"/>
        <w:rFonts w:ascii="宋体" w:hAnsi="宋体" w:eastAsia="宋体"/>
        <w:b w:val="0"/>
        <w:sz w:val="28"/>
        <w:szCs w:val="28"/>
      </w:rPr>
    </w:pPr>
    <w:r>
      <w:rPr>
        <w:rFonts w:ascii="宋体" w:hAnsi="宋体"/>
        <w:b/>
        <w:sz w:val="28"/>
        <w:szCs w:val="28"/>
      </w:rPr>
      <w:fldChar w:fldCharType="begin"/>
    </w:r>
    <w:r>
      <w:rPr>
        <w:rStyle w:val="5"/>
        <w:rFonts w:ascii="宋体" w:hAnsi="宋体" w:eastAsia="宋体"/>
        <w:b w:val="0"/>
        <w:sz w:val="28"/>
        <w:szCs w:val="28"/>
      </w:rPr>
      <w:instrText xml:space="preserve">PAGE  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Style w:val="5"/>
        <w:rFonts w:ascii="宋体" w:hAnsi="宋体" w:eastAsia="宋体"/>
        <w:b w:val="0"/>
        <w:sz w:val="28"/>
        <w:szCs w:val="28"/>
      </w:rPr>
      <w:t>- 49 -</w:t>
    </w:r>
    <w:r>
      <w:rPr>
        <w:rFonts w:ascii="宋体" w:hAnsi="宋体"/>
        <w:b/>
        <w:sz w:val="28"/>
        <w:szCs w:val="28"/>
      </w:rPr>
      <w:fldChar w:fldCharType="end"/>
    </w:r>
  </w:p>
  <w:p>
    <w:pPr>
      <w:pStyle w:val="2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62342"/>
    <w:rsid w:val="19F6234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uiPriority w:val="0"/>
    <w:rPr>
      <w:rFonts w:ascii="Times New Roman" w:hAnsi="Times New Roman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2016-11-04T03:29:00Z</dcterms:created>
  <dc:creator>Administrator</dc:creator>
  <cp:lastModifiedBy>Administrator</cp:lastModifiedBy>
  <dcterms:modified xsi:type="dcterms:W3CDTF">2016-11-04T03:30:20Z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